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740F5" w14:textId="720484CD" w:rsidR="00B56BC3" w:rsidRPr="00DF278B" w:rsidRDefault="00B56BC3" w:rsidP="004B4F05">
      <w:pPr>
        <w:jc w:val="center"/>
        <w:rPr>
          <w:b/>
          <w:bCs/>
        </w:rPr>
      </w:pPr>
      <w:r w:rsidRPr="00DF278B">
        <w:rPr>
          <w:b/>
          <w:bCs/>
        </w:rPr>
        <w:t>A Cost</w:t>
      </w:r>
      <w:r w:rsidR="007056E2" w:rsidRPr="00DF278B">
        <w:rPr>
          <w:b/>
          <w:bCs/>
        </w:rPr>
        <w:t>-</w:t>
      </w:r>
      <w:r w:rsidRPr="00DF278B">
        <w:rPr>
          <w:b/>
          <w:bCs/>
        </w:rPr>
        <w:t>Effectiveness Analysis of a National Program Implemented to Identify and Treat Schoolchildren with Correctable Refractive Error in Indonesia</w:t>
      </w:r>
    </w:p>
    <w:p w14:paraId="26BE06B5" w14:textId="11D5357F" w:rsidR="004B4F05" w:rsidRPr="00DF278B" w:rsidRDefault="004B4F05" w:rsidP="004B4F05">
      <w:pPr>
        <w:rPr>
          <w:b/>
          <w:bCs/>
        </w:rPr>
      </w:pPr>
    </w:p>
    <w:p w14:paraId="1450AC65" w14:textId="04A42A3E" w:rsidR="00DB3309" w:rsidRPr="00DF278B" w:rsidRDefault="00DB3309" w:rsidP="004B4F05">
      <w:pPr>
        <w:rPr>
          <w:bCs/>
        </w:rPr>
      </w:pPr>
      <w:r w:rsidRPr="00DF278B">
        <w:rPr>
          <w:bCs/>
        </w:rPr>
        <w:t xml:space="preserve">Rahul Iyengar, MD, Michael Krautmann, MSE, Joshua Ehrlich, MD, MPH </w:t>
      </w:r>
    </w:p>
    <w:p w14:paraId="4B26D53B" w14:textId="77777777" w:rsidR="00DB3309" w:rsidRPr="00DF278B" w:rsidRDefault="00DB3309" w:rsidP="004B4F05">
      <w:pPr>
        <w:rPr>
          <w:b/>
          <w:bCs/>
        </w:rPr>
      </w:pPr>
    </w:p>
    <w:p w14:paraId="16F22763" w14:textId="37C1E5D8" w:rsidR="004B4F05" w:rsidRPr="00DF278B" w:rsidRDefault="004B4F05" w:rsidP="004B4F05">
      <w:pPr>
        <w:rPr>
          <w:b/>
          <w:bCs/>
          <w:color w:val="002060"/>
          <w:sz w:val="28"/>
          <w:szCs w:val="28"/>
        </w:rPr>
      </w:pPr>
      <w:r w:rsidRPr="00DF278B">
        <w:rPr>
          <w:b/>
          <w:bCs/>
          <w:color w:val="002060"/>
          <w:sz w:val="28"/>
          <w:szCs w:val="28"/>
        </w:rPr>
        <w:t>Introduction</w:t>
      </w:r>
    </w:p>
    <w:p w14:paraId="57F24043" w14:textId="168D716F" w:rsidR="00430D3E" w:rsidRPr="00DF278B" w:rsidRDefault="00430D3E" w:rsidP="00430D3E"/>
    <w:p w14:paraId="3CF62B0C" w14:textId="6B9E1B17" w:rsidR="009D6C1E" w:rsidRPr="00DF278B" w:rsidRDefault="00430D3E" w:rsidP="00C907C4">
      <w:r w:rsidRPr="00DF278B">
        <w:t xml:space="preserve">Through the </w:t>
      </w:r>
      <w:r w:rsidR="00C454F6" w:rsidRPr="00DF278B">
        <w:t>larger</w:t>
      </w:r>
      <w:r w:rsidRPr="00DF278B">
        <w:t xml:space="preserve"> </w:t>
      </w:r>
      <w:r w:rsidRPr="00DF278B">
        <w:rPr>
          <w:i/>
          <w:iCs/>
        </w:rPr>
        <w:t>Seeing is Believing</w:t>
      </w:r>
      <w:r w:rsidRPr="00DF278B">
        <w:t xml:space="preserve"> (SiB) </w:t>
      </w:r>
      <w:r w:rsidR="006A1B75" w:rsidRPr="00DF278B">
        <w:t>initiative by Standard Chartered Bank</w:t>
      </w:r>
      <w:r w:rsidRPr="00DF278B">
        <w:t xml:space="preserve">, which implements numerous programs worldwide seeking to identify, prevent, and </w:t>
      </w:r>
      <w:r w:rsidR="00C454F6" w:rsidRPr="00DF278B">
        <w:t>treat</w:t>
      </w:r>
      <w:r w:rsidRPr="00DF278B">
        <w:t xml:space="preserve"> visual impairment, Helen Keller </w:t>
      </w:r>
      <w:r w:rsidR="00B46AF5">
        <w:t>International (HKI)</w:t>
      </w:r>
      <w:r w:rsidR="005041A1" w:rsidRPr="00DF278B" w:rsidDel="005041A1">
        <w:t xml:space="preserve"> </w:t>
      </w:r>
      <w:r w:rsidRPr="00DF278B">
        <w:t>launched a</w:t>
      </w:r>
      <w:r w:rsidR="00C454F6" w:rsidRPr="00DF278B">
        <w:t xml:space="preserve"> multi-phase</w:t>
      </w:r>
      <w:r w:rsidRPr="00DF278B">
        <w:t xml:space="preserve"> initiative </w:t>
      </w:r>
      <w:r w:rsidR="00892F01">
        <w:t>from 2016 to 2020</w:t>
      </w:r>
      <w:r w:rsidR="003C553B" w:rsidRPr="00DF278B">
        <w:t xml:space="preserve"> </w:t>
      </w:r>
      <w:r w:rsidRPr="00DF278B">
        <w:t xml:space="preserve">in conjunction with the Indonesian Ministry of Health (MoH) to build infrastructure for identifying and treating childhood </w:t>
      </w:r>
      <w:r w:rsidR="00C454F6" w:rsidRPr="00DF278B">
        <w:t>visual impairment</w:t>
      </w:r>
      <w:r w:rsidR="00CF0158" w:rsidRPr="00DF278B">
        <w:t xml:space="preserve"> in Indonesia</w:t>
      </w:r>
      <w:r w:rsidRPr="00DF278B">
        <w:t xml:space="preserve">. </w:t>
      </w:r>
      <w:r w:rsidR="009D6C1E" w:rsidRPr="00DF278B">
        <w:t>Part of this initiative included</w:t>
      </w:r>
      <w:r w:rsidR="00C454F6" w:rsidRPr="00DF278B">
        <w:t xml:space="preserve"> a specific program</w:t>
      </w:r>
      <w:r w:rsidR="00CF0158" w:rsidRPr="00DF278B">
        <w:t>, Opticians-in-Schools (OiS)</w:t>
      </w:r>
      <w:r w:rsidR="00A14AFD" w:rsidRPr="00DF278B">
        <w:t>,</w:t>
      </w:r>
      <w:r w:rsidR="009D6C1E" w:rsidRPr="00DF278B">
        <w:t xml:space="preserve"> </w:t>
      </w:r>
      <w:r w:rsidR="00C454F6" w:rsidRPr="00DF278B">
        <w:t>that partnered</w:t>
      </w:r>
      <w:r w:rsidR="009D6C1E" w:rsidRPr="00DF278B">
        <w:t xml:space="preserve"> with </w:t>
      </w:r>
      <w:r w:rsidR="00892F01">
        <w:t xml:space="preserve">the district health and education offices, primary health workers, </w:t>
      </w:r>
      <w:r w:rsidR="009D6C1E" w:rsidRPr="00DF278B">
        <w:t>schoolteachers, community leaders, and refraction opticians to identify and provide glasses to schoolchildren with refractive error</w:t>
      </w:r>
      <w:r w:rsidR="0003560C" w:rsidRPr="00DF278B">
        <w:t>,</w:t>
      </w:r>
      <w:r w:rsidR="009D6C1E" w:rsidRPr="00DF278B">
        <w:t xml:space="preserve"> at no cost. </w:t>
      </w:r>
      <w:r w:rsidR="00C454F6" w:rsidRPr="00DF278B">
        <w:t xml:space="preserve">While previous school-based screening models have been implemented around the world with </w:t>
      </w:r>
      <w:r w:rsidR="00C907C4" w:rsidRPr="00DF278B">
        <w:t xml:space="preserve">varied </w:t>
      </w:r>
      <w:r w:rsidR="00C454F6" w:rsidRPr="00DF278B">
        <w:t>success, t</w:t>
      </w:r>
      <w:r w:rsidR="009D6C1E" w:rsidRPr="00DF278B">
        <w:t>h</w:t>
      </w:r>
      <w:r w:rsidR="00C454F6" w:rsidRPr="00DF278B">
        <w:t>is</w:t>
      </w:r>
      <w:r w:rsidR="009D6C1E" w:rsidRPr="00DF278B">
        <w:t xml:space="preserve"> study </w:t>
      </w:r>
      <w:r w:rsidR="00C454F6" w:rsidRPr="00DF278B">
        <w:t>specifically evaluates</w:t>
      </w:r>
      <w:r w:rsidR="009D6C1E" w:rsidRPr="00DF278B">
        <w:t xml:space="preserve"> the cost-effectiveness of designing and implementing </w:t>
      </w:r>
      <w:r w:rsidR="00CF0158" w:rsidRPr="00DF278B">
        <w:t>a model that brings trained ophthalmic personnel and glasses to schools</w:t>
      </w:r>
      <w:r w:rsidR="00C454F6" w:rsidRPr="00DF278B">
        <w:t>. Given the profound impact that visual impairment can have on quality of life, there is an urgent need for designing</w:t>
      </w:r>
      <w:r w:rsidR="00CF0158" w:rsidRPr="00DF278B">
        <w:t xml:space="preserve">, </w:t>
      </w:r>
      <w:r w:rsidR="00DF278B" w:rsidRPr="00DF278B">
        <w:t xml:space="preserve">deploying, and </w:t>
      </w:r>
      <w:r w:rsidR="0003560C" w:rsidRPr="00DF278B">
        <w:t>assessing</w:t>
      </w:r>
      <w:r w:rsidR="00DF278B" w:rsidRPr="00DF278B">
        <w:t xml:space="preserve"> </w:t>
      </w:r>
      <w:r w:rsidR="00C454F6" w:rsidRPr="00DF278B">
        <w:t xml:space="preserve">cost-effective models for treating refractive error in children. </w:t>
      </w:r>
      <w:r w:rsidR="009D6C1E" w:rsidRPr="00DF278B">
        <w:t xml:space="preserve"> </w:t>
      </w:r>
    </w:p>
    <w:p w14:paraId="21E58F02" w14:textId="173A3907" w:rsidR="00D92327" w:rsidRPr="00DF278B" w:rsidRDefault="00D92327" w:rsidP="00D92327"/>
    <w:p w14:paraId="2FAA753F" w14:textId="7D5ED58A" w:rsidR="00E16E89" w:rsidRPr="00DF278B" w:rsidRDefault="00E16E89" w:rsidP="00D92327">
      <w:pPr>
        <w:rPr>
          <w:b/>
          <w:bCs/>
          <w:color w:val="002060"/>
          <w:sz w:val="28"/>
          <w:szCs w:val="28"/>
        </w:rPr>
      </w:pPr>
      <w:r w:rsidRPr="00DF278B">
        <w:rPr>
          <w:b/>
          <w:bCs/>
          <w:color w:val="002060"/>
          <w:sz w:val="28"/>
          <w:szCs w:val="28"/>
        </w:rPr>
        <w:t>Methods</w:t>
      </w:r>
    </w:p>
    <w:p w14:paraId="30903858" w14:textId="77777777" w:rsidR="003A500A" w:rsidRPr="00DF278B" w:rsidRDefault="003A500A" w:rsidP="00D92327"/>
    <w:p w14:paraId="1051CF01" w14:textId="5A2C181C" w:rsidR="00A962AE" w:rsidRPr="00DF278B" w:rsidRDefault="00430D3E" w:rsidP="00D92327">
      <w:r w:rsidRPr="00DF278B">
        <w:t>This observational study analyzes the cost</w:t>
      </w:r>
      <w:r w:rsidR="009D6C1E" w:rsidRPr="00DF278B">
        <w:t>s</w:t>
      </w:r>
      <w:r w:rsidR="0002098D" w:rsidRPr="00DF278B">
        <w:t xml:space="preserve">, </w:t>
      </w:r>
      <w:r w:rsidR="009D6C1E" w:rsidRPr="00DF278B">
        <w:t>outcomes</w:t>
      </w:r>
      <w:r w:rsidR="0002098D" w:rsidRPr="00DF278B">
        <w:t>, and utility</w:t>
      </w:r>
      <w:r w:rsidR="009D6C1E" w:rsidRPr="00DF278B">
        <w:t xml:space="preserve"> </w:t>
      </w:r>
      <w:r w:rsidRPr="00DF278B">
        <w:t xml:space="preserve">of </w:t>
      </w:r>
      <w:r w:rsidR="00CF0158" w:rsidRPr="00DF278B">
        <w:t xml:space="preserve">OiS, </w:t>
      </w:r>
      <w:r w:rsidRPr="00DF278B">
        <w:t xml:space="preserve">a school-based </w:t>
      </w:r>
      <w:r w:rsidR="00CF0158" w:rsidRPr="00DF278B">
        <w:t xml:space="preserve">visual acuity (VA) </w:t>
      </w:r>
      <w:r w:rsidRPr="00DF278B">
        <w:t>screening</w:t>
      </w:r>
      <w:r w:rsidR="00183362" w:rsidRPr="00DF278B">
        <w:t>, refraction,</w:t>
      </w:r>
      <w:r w:rsidR="00D62360" w:rsidRPr="00DF278B">
        <w:t xml:space="preserve"> and glasses delivery</w:t>
      </w:r>
      <w:r w:rsidRPr="00DF278B">
        <w:t xml:space="preserve"> program </w:t>
      </w:r>
      <w:r w:rsidR="009D6C1E" w:rsidRPr="00DF278B">
        <w:t xml:space="preserve">implemented </w:t>
      </w:r>
      <w:r w:rsidR="001E7858" w:rsidRPr="00DF278B">
        <w:t xml:space="preserve">in </w:t>
      </w:r>
      <w:r w:rsidR="006A1B75" w:rsidRPr="00DF278B">
        <w:t xml:space="preserve">South Sulawesi. South Sulawesi is a province in the southern peninsula of Sulawesi in </w:t>
      </w:r>
      <w:r w:rsidR="00635CCA" w:rsidRPr="00DF278B">
        <w:t>Indonesia and</w:t>
      </w:r>
      <w:r w:rsidR="001E7858" w:rsidRPr="00DF278B">
        <w:t xml:space="preserve"> includes</w:t>
      </w:r>
      <w:r w:rsidR="00892F01">
        <w:t xml:space="preserve"> twenty four districts. The OiS program was carried out in</w:t>
      </w:r>
      <w:r w:rsidR="001E7858" w:rsidRPr="00DF278B">
        <w:t xml:space="preserve"> </w:t>
      </w:r>
      <w:r w:rsidR="006A1B75" w:rsidRPr="00DF278B">
        <w:t>six districts</w:t>
      </w:r>
      <w:r w:rsidR="001E7858" w:rsidRPr="00DF278B">
        <w:t xml:space="preserve">: </w:t>
      </w:r>
      <w:r w:rsidR="00C454F6" w:rsidRPr="00DF278B">
        <w:t xml:space="preserve">Makassar, Gowa, Bulukumba, Bone, Palopo, and Parepare. </w:t>
      </w:r>
      <w:r w:rsidR="004B4F05" w:rsidRPr="00DF278B">
        <w:t xml:space="preserve">The program was designed and </w:t>
      </w:r>
      <w:r w:rsidR="00D62360" w:rsidRPr="00DF278B">
        <w:t>executed</w:t>
      </w:r>
      <w:r w:rsidR="004B4F05" w:rsidRPr="00DF278B">
        <w:t xml:space="preserve"> </w:t>
      </w:r>
      <w:r w:rsidR="003A500A" w:rsidRPr="00DF278B">
        <w:t xml:space="preserve">by </w:t>
      </w:r>
      <w:r w:rsidR="006414DB" w:rsidRPr="00DF278B">
        <w:t>Helen Keller</w:t>
      </w:r>
      <w:r w:rsidR="00FC324D" w:rsidRPr="00DF278B">
        <w:t xml:space="preserve"> </w:t>
      </w:r>
      <w:r w:rsidR="0003560C" w:rsidRPr="00DF278B">
        <w:t>alongside</w:t>
      </w:r>
      <w:r w:rsidR="004B4F05" w:rsidRPr="00DF278B">
        <w:t xml:space="preserve"> </w:t>
      </w:r>
      <w:r w:rsidR="00B46AF5" w:rsidRPr="00B46AF5">
        <w:t>District health and education offices, professional associations</w:t>
      </w:r>
      <w:r w:rsidR="00B46AF5">
        <w:t>,</w:t>
      </w:r>
      <w:r w:rsidR="00C454F6" w:rsidRPr="00DF278B">
        <w:t xml:space="preserve"> </w:t>
      </w:r>
      <w:r w:rsidR="003A500A" w:rsidRPr="00DF278B">
        <w:t xml:space="preserve">school </w:t>
      </w:r>
      <w:r w:rsidR="00C454F6" w:rsidRPr="00DF278B">
        <w:t xml:space="preserve">administrators, </w:t>
      </w:r>
      <w:r w:rsidR="004B4F05" w:rsidRPr="00DF278B">
        <w:t xml:space="preserve">and </w:t>
      </w:r>
      <w:r w:rsidR="00C454F6" w:rsidRPr="00DF278B">
        <w:t xml:space="preserve">community leaders, </w:t>
      </w:r>
      <w:r w:rsidR="004B4F05" w:rsidRPr="00DF278B">
        <w:t>with significant input</w:t>
      </w:r>
      <w:r w:rsidR="00183362" w:rsidRPr="00DF278B">
        <w:t xml:space="preserve"> and oversight </w:t>
      </w:r>
      <w:r w:rsidR="004B4F05" w:rsidRPr="00DF278B">
        <w:t xml:space="preserve">from the </w:t>
      </w:r>
      <w:r w:rsidR="00C454F6" w:rsidRPr="00DF278B">
        <w:t xml:space="preserve">Indonesian </w:t>
      </w:r>
      <w:r w:rsidR="004B4F05" w:rsidRPr="00DF278B">
        <w:t xml:space="preserve">Ministry of Health. </w:t>
      </w:r>
      <w:r w:rsidR="003A500A" w:rsidRPr="00DF278B">
        <w:t xml:space="preserve">Study analysis was performed by </w:t>
      </w:r>
      <w:r w:rsidR="00B46AF5">
        <w:t xml:space="preserve">HKI </w:t>
      </w:r>
      <w:r w:rsidR="003A500A" w:rsidRPr="00DF278B">
        <w:t>administrators in conjunction with researchers from the University of Michigan,</w:t>
      </w:r>
      <w:r w:rsidR="00144039" w:rsidRPr="00DF278B">
        <w:t xml:space="preserve"> USA,</w:t>
      </w:r>
      <w:r w:rsidR="003A500A" w:rsidRPr="00DF278B">
        <w:t xml:space="preserve"> with removal of any and all identifiable health information</w:t>
      </w:r>
      <w:r w:rsidR="0003560C" w:rsidRPr="00DF278B">
        <w:t xml:space="preserve"> prior to analysis</w:t>
      </w:r>
      <w:r w:rsidR="003A500A" w:rsidRPr="00DF278B">
        <w:t xml:space="preserve">. </w:t>
      </w:r>
      <w:r w:rsidR="00C907C4" w:rsidRPr="00DF278B">
        <w:t>This analysis was designated as not regulated by the University of Michigan Institutional Review Board.</w:t>
      </w:r>
    </w:p>
    <w:p w14:paraId="598284DF" w14:textId="77777777" w:rsidR="003A500A" w:rsidRPr="00DF278B" w:rsidRDefault="003A500A" w:rsidP="00D92327"/>
    <w:p w14:paraId="488887A0" w14:textId="644637FB" w:rsidR="00A962AE" w:rsidRPr="00DF278B" w:rsidRDefault="00A962AE" w:rsidP="00D92327">
      <w:r w:rsidRPr="00DF278B">
        <w:rPr>
          <w:i/>
          <w:iCs/>
        </w:rPr>
        <w:t>Program Design</w:t>
      </w:r>
    </w:p>
    <w:p w14:paraId="74DE8DF8" w14:textId="7884A9A2" w:rsidR="00A962AE" w:rsidRPr="00DF278B" w:rsidRDefault="003A500A" w:rsidP="00D92327">
      <w:r w:rsidRPr="00DF278B">
        <w:t>The overarching goal of th</w:t>
      </w:r>
      <w:r w:rsidR="006A1B75" w:rsidRPr="00DF278B">
        <w:t>is Child Eye health</w:t>
      </w:r>
      <w:r w:rsidR="00CF0158" w:rsidRPr="00DF278B">
        <w:t xml:space="preserve"> </w:t>
      </w:r>
      <w:r w:rsidRPr="00DF278B">
        <w:t xml:space="preserve">program </w:t>
      </w:r>
      <w:r w:rsidR="00CF0158" w:rsidRPr="00DF278B">
        <w:t xml:space="preserve">in Indonesia </w:t>
      </w:r>
      <w:r w:rsidRPr="00DF278B">
        <w:t>was to create multiple community outposts that could conveniently and cost-effectively serve as screening and triage centers for ocular diseases</w:t>
      </w:r>
      <w:r w:rsidR="00FC0B4A" w:rsidRPr="00DF278B">
        <w:t xml:space="preserve"> in children</w:t>
      </w:r>
      <w:r w:rsidRPr="00DF278B">
        <w:t xml:space="preserve">, given the limited </w:t>
      </w:r>
      <w:r w:rsidR="0003560C" w:rsidRPr="00DF278B">
        <w:t>access to</w:t>
      </w:r>
      <w:r w:rsidRPr="00DF278B">
        <w:t xml:space="preserve"> Ophthalmologists in Indonesia. </w:t>
      </w:r>
      <w:r w:rsidR="00FC0B4A" w:rsidRPr="00DF278B">
        <w:t xml:space="preserve">Such outposts included primary health centers (PHCs), maternal and child health posts (MCHPs), and schools. Teams of MoH experts, </w:t>
      </w:r>
      <w:r w:rsidR="00B46AF5">
        <w:t>HKI</w:t>
      </w:r>
      <w:r w:rsidR="00841380" w:rsidRPr="00DF278B">
        <w:t xml:space="preserve"> </w:t>
      </w:r>
      <w:r w:rsidR="00FC0B4A" w:rsidRPr="00DF278B">
        <w:t>personnel,</w:t>
      </w:r>
      <w:r w:rsidR="00B46AF5">
        <w:t xml:space="preserve"> professional o</w:t>
      </w:r>
      <w:r w:rsidR="00841380" w:rsidRPr="00DF278B">
        <w:t>phthalmology associations,</w:t>
      </w:r>
      <w:r w:rsidR="00FC0B4A" w:rsidRPr="00DF278B">
        <w:t xml:space="preserve"> and </w:t>
      </w:r>
      <w:r w:rsidR="00841380" w:rsidRPr="00DF278B">
        <w:t xml:space="preserve">Provincial and </w:t>
      </w:r>
      <w:r w:rsidR="00FC0B4A" w:rsidRPr="00DF278B">
        <w:t xml:space="preserve">District Health Officers were responsible for identifying, </w:t>
      </w:r>
      <w:r w:rsidR="00144039" w:rsidRPr="00DF278B">
        <w:t>orienting</w:t>
      </w:r>
      <w:r w:rsidR="00FC0B4A" w:rsidRPr="00DF278B">
        <w:t xml:space="preserve">, and training those designated as a District Trainer (DT) for a given district in Indonesia. DTs were then responsible for </w:t>
      </w:r>
      <w:r w:rsidR="00144039" w:rsidRPr="00DF278B">
        <w:t>orienting</w:t>
      </w:r>
      <w:r w:rsidR="00FC0B4A" w:rsidRPr="00DF278B">
        <w:t xml:space="preserve">, training, and overseeing all personnel in their district. </w:t>
      </w:r>
      <w:r w:rsidR="00D62360" w:rsidRPr="00DF278B">
        <w:t xml:space="preserve">A flowchart outlining the relationships between screening and referral centers is depicted in Figure 1. </w:t>
      </w:r>
    </w:p>
    <w:p w14:paraId="77A25D9A" w14:textId="2AEDD3B5" w:rsidR="00FC0B4A" w:rsidRPr="00DF278B" w:rsidRDefault="00FC0B4A" w:rsidP="00D92327"/>
    <w:p w14:paraId="3881BE3E" w14:textId="3EEF6420" w:rsidR="003A500A" w:rsidRPr="00DF278B" w:rsidRDefault="00D62360" w:rsidP="00D92327">
      <w:r w:rsidRPr="00DF278B">
        <w:t>Within this</w:t>
      </w:r>
      <w:r w:rsidR="00FC0B4A" w:rsidRPr="00DF278B">
        <w:t xml:space="preserve"> </w:t>
      </w:r>
      <w:r w:rsidRPr="00DF278B">
        <w:t>larger</w:t>
      </w:r>
      <w:r w:rsidR="0095378C" w:rsidRPr="00DF278B">
        <w:t xml:space="preserve"> Child Eye Health </w:t>
      </w:r>
      <w:r w:rsidR="006A1B75" w:rsidRPr="00DF278B">
        <w:t>program</w:t>
      </w:r>
      <w:r w:rsidR="00FC0B4A" w:rsidRPr="00DF278B">
        <w:t xml:space="preserve">, </w:t>
      </w:r>
      <w:r w:rsidR="00CF0158" w:rsidRPr="00DF278B">
        <w:t xml:space="preserve">the OiS </w:t>
      </w:r>
      <w:r w:rsidR="006A1B75" w:rsidRPr="00DF278B">
        <w:t>activity</w:t>
      </w:r>
      <w:r w:rsidRPr="00DF278B">
        <w:t xml:space="preserve"> was enacted within schools </w:t>
      </w:r>
      <w:r w:rsidR="00FC0B4A" w:rsidRPr="00DF278B">
        <w:t xml:space="preserve">across </w:t>
      </w:r>
      <w:r w:rsidR="00F57F7F" w:rsidRPr="00DF278B">
        <w:t xml:space="preserve">six </w:t>
      </w:r>
      <w:r w:rsidR="00FC0B4A" w:rsidRPr="00DF278B">
        <w:t xml:space="preserve">districts </w:t>
      </w:r>
      <w:r w:rsidR="002460CA" w:rsidRPr="00DF278B">
        <w:t xml:space="preserve">in South Sulawesi </w:t>
      </w:r>
      <w:r w:rsidRPr="00DF278B">
        <w:t xml:space="preserve">to screen, refract, and provide glasses at no cost to schoolchildren with uncorrected refractive error. </w:t>
      </w:r>
      <w:r w:rsidR="00393D59" w:rsidRPr="00DF278B">
        <w:t xml:space="preserve">This </w:t>
      </w:r>
      <w:r w:rsidR="006A1B75" w:rsidRPr="00DF278B">
        <w:t>activity</w:t>
      </w:r>
      <w:r w:rsidR="00393D59" w:rsidRPr="00DF278B">
        <w:t xml:space="preserve"> is the focus of our cost</w:t>
      </w:r>
      <w:r w:rsidR="007056E2" w:rsidRPr="00DF278B">
        <w:t>-</w:t>
      </w:r>
      <w:r w:rsidR="00393D59" w:rsidRPr="00DF278B">
        <w:t xml:space="preserve">effectiveness </w:t>
      </w:r>
      <w:r w:rsidR="00144039" w:rsidRPr="00DF278B">
        <w:t>analysis</w:t>
      </w:r>
      <w:r w:rsidR="00393D59" w:rsidRPr="00DF278B">
        <w:t xml:space="preserve">. Through </w:t>
      </w:r>
      <w:r w:rsidR="00431B48" w:rsidRPr="00DF278B">
        <w:t>OiS</w:t>
      </w:r>
      <w:r w:rsidR="00393D59" w:rsidRPr="00DF278B">
        <w:t xml:space="preserve">, DTs sensitized and trained nurses, who were subsequently deployed to train and oversee teachers </w:t>
      </w:r>
      <w:r w:rsidR="0003560C" w:rsidRPr="00DF278B">
        <w:t>performing</w:t>
      </w:r>
      <w:r w:rsidR="00393D59" w:rsidRPr="00DF278B">
        <w:t xml:space="preserve"> </w:t>
      </w:r>
      <w:r w:rsidR="00D175AC" w:rsidRPr="00DF278B">
        <w:t>VA</w:t>
      </w:r>
      <w:r w:rsidR="00393D59" w:rsidRPr="00DF278B">
        <w:t xml:space="preserve"> screenings in schools. With coordination </w:t>
      </w:r>
      <w:r w:rsidR="0003560C" w:rsidRPr="00DF278B">
        <w:t xml:space="preserve">and </w:t>
      </w:r>
      <w:r w:rsidR="00393D59" w:rsidRPr="00DF278B">
        <w:t xml:space="preserve">assistance from </w:t>
      </w:r>
      <w:r w:rsidR="00380FCE" w:rsidRPr="00DF278B">
        <w:t>Helen Keller</w:t>
      </w:r>
      <w:r w:rsidR="00393D59" w:rsidRPr="00DF278B">
        <w:t xml:space="preserve">, refraction opticians </w:t>
      </w:r>
      <w:r w:rsidR="00144039" w:rsidRPr="00DF278B">
        <w:t xml:space="preserve">from the </w:t>
      </w:r>
      <w:r w:rsidR="006A1B75" w:rsidRPr="00DF278B">
        <w:t>professional society</w:t>
      </w:r>
      <w:r w:rsidR="00DF278B" w:rsidRPr="00DF278B">
        <w:t xml:space="preserve"> </w:t>
      </w:r>
      <w:r w:rsidR="00892F01">
        <w:t>(</w:t>
      </w:r>
      <w:r w:rsidR="00144039" w:rsidRPr="00DF278B">
        <w:t>IROPIN</w:t>
      </w:r>
      <w:r w:rsidR="00892F01">
        <w:t>)</w:t>
      </w:r>
      <w:r w:rsidR="00144039" w:rsidRPr="00DF278B">
        <w:t xml:space="preserve"> </w:t>
      </w:r>
      <w:r w:rsidR="00393D59" w:rsidRPr="00DF278B">
        <w:t>then visited schools at a later date to refract and provide glasses to students</w:t>
      </w:r>
      <w:r w:rsidR="00144039" w:rsidRPr="00DF278B">
        <w:t xml:space="preserve">, with costs borne by </w:t>
      </w:r>
      <w:r w:rsidR="002064B2" w:rsidRPr="00DF278B">
        <w:t>Helen Keller</w:t>
      </w:r>
      <w:r w:rsidR="00393D59" w:rsidRPr="00DF278B">
        <w:t xml:space="preserve">. </w:t>
      </w:r>
      <w:r w:rsidR="00876E34" w:rsidRPr="00DF278B">
        <w:t xml:space="preserve">Given logistical constraints related to geography and graduating students, </w:t>
      </w:r>
      <w:r w:rsidR="00183362" w:rsidRPr="00DF278B">
        <w:t xml:space="preserve">refraction </w:t>
      </w:r>
      <w:r w:rsidR="00876E34" w:rsidRPr="00DF278B">
        <w:t>services</w:t>
      </w:r>
      <w:r w:rsidR="00183362" w:rsidRPr="00DF278B">
        <w:t xml:space="preserve"> and glasses</w:t>
      </w:r>
      <w:r w:rsidR="00876E34" w:rsidRPr="00DF278B">
        <w:t xml:space="preserve"> were provided centrally in two districts, Bone and Bulukumba. </w:t>
      </w:r>
    </w:p>
    <w:p w14:paraId="221E206E" w14:textId="77777777" w:rsidR="003A500A" w:rsidRPr="00DF278B" w:rsidRDefault="003A500A" w:rsidP="00D92327"/>
    <w:p w14:paraId="1504FF7B" w14:textId="151CF155" w:rsidR="00D62360" w:rsidRPr="00DF278B" w:rsidRDefault="00753E84" w:rsidP="00D92327">
      <w:r w:rsidRPr="00DF278B">
        <w:rPr>
          <w:i/>
          <w:iCs/>
        </w:rPr>
        <w:t>Data Definitions</w:t>
      </w:r>
      <w:r w:rsidR="00D62360" w:rsidRPr="00DF278B">
        <w:rPr>
          <w:i/>
          <w:iCs/>
        </w:rPr>
        <w:t xml:space="preserve"> and </w:t>
      </w:r>
      <w:r w:rsidR="00A75160" w:rsidRPr="00DF278B">
        <w:rPr>
          <w:i/>
          <w:iCs/>
        </w:rPr>
        <w:t>Costs</w:t>
      </w:r>
    </w:p>
    <w:p w14:paraId="1D787617" w14:textId="442EB3F0" w:rsidR="0003560C" w:rsidRPr="00DF278B" w:rsidRDefault="00D175AC" w:rsidP="00D92327">
      <w:r w:rsidRPr="00DF278B">
        <w:t xml:space="preserve">Our key metrics for this study included the </w:t>
      </w:r>
      <w:r w:rsidR="00A75160" w:rsidRPr="00DF278B">
        <w:t>c</w:t>
      </w:r>
      <w:r w:rsidRPr="00DF278B">
        <w:t xml:space="preserve">osts associated with designing and implementing this program and the </w:t>
      </w:r>
      <w:r w:rsidR="00A75160" w:rsidRPr="00DF278B">
        <w:t>o</w:t>
      </w:r>
      <w:r w:rsidRPr="00DF278B">
        <w:t xml:space="preserve">utcomes related to the results of VA </w:t>
      </w:r>
      <w:r w:rsidR="00385374" w:rsidRPr="00DF278B">
        <w:t>assessments</w:t>
      </w:r>
      <w:r w:rsidRPr="00DF278B">
        <w:t xml:space="preserve"> and </w:t>
      </w:r>
      <w:r w:rsidR="00385374" w:rsidRPr="00DF278B">
        <w:t>glasses provision</w:t>
      </w:r>
      <w:r w:rsidRPr="00DF278B">
        <w:t xml:space="preserve">. Costs were organized into </w:t>
      </w:r>
      <w:r w:rsidR="0003560C" w:rsidRPr="00DF278B">
        <w:t xml:space="preserve">four </w:t>
      </w:r>
      <w:r w:rsidR="006A1B75" w:rsidRPr="00DF278B">
        <w:rPr>
          <w:i/>
          <w:iCs/>
        </w:rPr>
        <w:t>components</w:t>
      </w:r>
      <w:r w:rsidRPr="00DF278B">
        <w:t xml:space="preserve">: </w:t>
      </w:r>
      <w:r w:rsidR="00E854F9" w:rsidRPr="00DF278B">
        <w:rPr>
          <w:b/>
          <w:bCs/>
        </w:rPr>
        <w:t xml:space="preserve">Sensitization, Training, Service Delivery, </w:t>
      </w:r>
      <w:r w:rsidR="00E854F9" w:rsidRPr="00DF278B">
        <w:t>and</w:t>
      </w:r>
      <w:r w:rsidR="00E854F9" w:rsidRPr="00DF278B">
        <w:rPr>
          <w:b/>
          <w:bCs/>
        </w:rPr>
        <w:t xml:space="preserve"> </w:t>
      </w:r>
      <w:r w:rsidR="00E07BCF" w:rsidRPr="00DF278B">
        <w:rPr>
          <w:b/>
          <w:bCs/>
        </w:rPr>
        <w:t xml:space="preserve">Helen Keller </w:t>
      </w:r>
      <w:r w:rsidR="00E854F9" w:rsidRPr="00DF278B">
        <w:rPr>
          <w:b/>
          <w:bCs/>
        </w:rPr>
        <w:t>Programming</w:t>
      </w:r>
      <w:r w:rsidR="00876E34" w:rsidRPr="00DF278B">
        <w:t>:</w:t>
      </w:r>
    </w:p>
    <w:p w14:paraId="4F959263" w14:textId="77777777" w:rsidR="0003560C" w:rsidRPr="00DF278B" w:rsidRDefault="0003560C" w:rsidP="00D92327"/>
    <w:p w14:paraId="6BD67A7A" w14:textId="4BBD153C" w:rsidR="0003560C" w:rsidRPr="00DF278B" w:rsidRDefault="00E854F9" w:rsidP="0003560C">
      <w:pPr>
        <w:pStyle w:val="ListParagraph"/>
        <w:numPr>
          <w:ilvl w:val="0"/>
          <w:numId w:val="2"/>
        </w:numPr>
        <w:rPr>
          <w:rFonts w:ascii="Times New Roman" w:hAnsi="Times New Roman" w:cs="Times New Roman"/>
        </w:rPr>
      </w:pPr>
      <w:r w:rsidRPr="00DF278B">
        <w:rPr>
          <w:rFonts w:ascii="Times New Roman" w:hAnsi="Times New Roman" w:cs="Times New Roman"/>
          <w:b/>
          <w:bCs/>
        </w:rPr>
        <w:t>Sensitization</w:t>
      </w:r>
      <w:r w:rsidRPr="00DF278B">
        <w:rPr>
          <w:rFonts w:ascii="Times New Roman" w:hAnsi="Times New Roman" w:cs="Times New Roman"/>
        </w:rPr>
        <w:t xml:space="preserve"> referred to costs associated with introducing and orienting </w:t>
      </w:r>
      <w:r w:rsidR="0003560C" w:rsidRPr="00DF278B">
        <w:rPr>
          <w:rFonts w:ascii="Times New Roman" w:hAnsi="Times New Roman" w:cs="Times New Roman"/>
        </w:rPr>
        <w:t>regional leadership and stakeholders</w:t>
      </w:r>
      <w:r w:rsidR="00792297" w:rsidRPr="00DF278B">
        <w:rPr>
          <w:rFonts w:ascii="Times New Roman" w:hAnsi="Times New Roman" w:cs="Times New Roman"/>
        </w:rPr>
        <w:t xml:space="preserve"> </w:t>
      </w:r>
      <w:r w:rsidR="00841380" w:rsidRPr="00DF278B">
        <w:rPr>
          <w:rFonts w:ascii="Times New Roman" w:hAnsi="Times New Roman" w:cs="Times New Roman"/>
        </w:rPr>
        <w:t xml:space="preserve">from </w:t>
      </w:r>
      <w:r w:rsidRPr="00DF278B">
        <w:rPr>
          <w:rFonts w:ascii="Times New Roman" w:hAnsi="Times New Roman" w:cs="Times New Roman"/>
        </w:rPr>
        <w:t>each district</w:t>
      </w:r>
      <w:r w:rsidR="00841380" w:rsidRPr="00DF278B">
        <w:rPr>
          <w:rFonts w:ascii="Times New Roman" w:hAnsi="Times New Roman" w:cs="Times New Roman"/>
        </w:rPr>
        <w:t xml:space="preserve">, such as district health officials, headmasters, PHC administrators, educators, </w:t>
      </w:r>
      <w:r w:rsidR="00792297" w:rsidRPr="00DF278B">
        <w:rPr>
          <w:rFonts w:ascii="Times New Roman" w:hAnsi="Times New Roman" w:cs="Times New Roman"/>
        </w:rPr>
        <w:t>with</w:t>
      </w:r>
      <w:r w:rsidRPr="00DF278B">
        <w:rPr>
          <w:rFonts w:ascii="Times New Roman" w:hAnsi="Times New Roman" w:cs="Times New Roman"/>
        </w:rPr>
        <w:t xml:space="preserve"> the program</w:t>
      </w:r>
      <w:r w:rsidR="00841380" w:rsidRPr="00DF278B">
        <w:rPr>
          <w:rFonts w:ascii="Times New Roman" w:hAnsi="Times New Roman" w:cs="Times New Roman"/>
        </w:rPr>
        <w:t xml:space="preserve">. This included </w:t>
      </w:r>
      <w:r w:rsidR="00385374" w:rsidRPr="00DF278B">
        <w:rPr>
          <w:rFonts w:ascii="Times New Roman" w:hAnsi="Times New Roman" w:cs="Times New Roman"/>
        </w:rPr>
        <w:t xml:space="preserve">coordinating </w:t>
      </w:r>
      <w:r w:rsidR="00144039" w:rsidRPr="00DF278B">
        <w:rPr>
          <w:rFonts w:ascii="Times New Roman" w:hAnsi="Times New Roman" w:cs="Times New Roman"/>
        </w:rPr>
        <w:t xml:space="preserve">necessary </w:t>
      </w:r>
      <w:r w:rsidR="00385374" w:rsidRPr="00DF278B">
        <w:rPr>
          <w:rFonts w:ascii="Times New Roman" w:hAnsi="Times New Roman" w:cs="Times New Roman"/>
        </w:rPr>
        <w:t>logistics</w:t>
      </w:r>
      <w:r w:rsidR="00144039" w:rsidRPr="00DF278B">
        <w:rPr>
          <w:rFonts w:ascii="Times New Roman" w:hAnsi="Times New Roman" w:cs="Times New Roman"/>
        </w:rPr>
        <w:t xml:space="preserve"> and soliciting program support</w:t>
      </w:r>
      <w:r w:rsidR="0003560C" w:rsidRPr="00DF278B">
        <w:rPr>
          <w:rFonts w:ascii="Times New Roman" w:hAnsi="Times New Roman" w:cs="Times New Roman"/>
        </w:rPr>
        <w:t xml:space="preserve"> to solidify strong community partnership</w:t>
      </w:r>
      <w:r w:rsidRPr="00DF278B">
        <w:rPr>
          <w:rFonts w:ascii="Times New Roman" w:hAnsi="Times New Roman" w:cs="Times New Roman"/>
        </w:rPr>
        <w:t xml:space="preserve">. </w:t>
      </w:r>
      <w:r w:rsidR="00431B48" w:rsidRPr="00DF278B">
        <w:rPr>
          <w:rFonts w:ascii="Times New Roman" w:hAnsi="Times New Roman" w:cs="Times New Roman"/>
        </w:rPr>
        <w:t xml:space="preserve">When necessary, costs from the larger </w:t>
      </w:r>
      <w:r w:rsidR="0095378C" w:rsidRPr="00DF278B">
        <w:rPr>
          <w:rFonts w:ascii="Times New Roman" w:hAnsi="Times New Roman" w:cs="Times New Roman"/>
        </w:rPr>
        <w:t>Child Eye Health program</w:t>
      </w:r>
      <w:r w:rsidR="00431B48" w:rsidRPr="00DF278B">
        <w:rPr>
          <w:rFonts w:ascii="Times New Roman" w:hAnsi="Times New Roman" w:cs="Times New Roman"/>
        </w:rPr>
        <w:t xml:space="preserve"> were disaggregated to only capture what was necessary to conduct the OiS program. </w:t>
      </w:r>
    </w:p>
    <w:p w14:paraId="2207EB0D" w14:textId="77777777" w:rsidR="0003560C" w:rsidRPr="00DF278B" w:rsidRDefault="00E854F9" w:rsidP="0003560C">
      <w:pPr>
        <w:pStyle w:val="ListParagraph"/>
        <w:numPr>
          <w:ilvl w:val="0"/>
          <w:numId w:val="2"/>
        </w:numPr>
        <w:rPr>
          <w:rFonts w:ascii="Times New Roman" w:hAnsi="Times New Roman" w:cs="Times New Roman"/>
        </w:rPr>
      </w:pPr>
      <w:r w:rsidRPr="00DF278B">
        <w:rPr>
          <w:rFonts w:ascii="Times New Roman" w:hAnsi="Times New Roman" w:cs="Times New Roman"/>
          <w:b/>
          <w:bCs/>
        </w:rPr>
        <w:t>Training</w:t>
      </w:r>
      <w:r w:rsidRPr="00DF278B">
        <w:rPr>
          <w:rFonts w:ascii="Times New Roman" w:hAnsi="Times New Roman" w:cs="Times New Roman"/>
        </w:rPr>
        <w:t xml:space="preserve"> referred to costs associated with </w:t>
      </w:r>
      <w:r w:rsidR="00385374" w:rsidRPr="00DF278B">
        <w:rPr>
          <w:rFonts w:ascii="Times New Roman" w:hAnsi="Times New Roman" w:cs="Times New Roman"/>
        </w:rPr>
        <w:t xml:space="preserve">ensuring all </w:t>
      </w:r>
      <w:r w:rsidR="00144AB0" w:rsidRPr="00DF278B">
        <w:rPr>
          <w:rFonts w:ascii="Times New Roman" w:hAnsi="Times New Roman" w:cs="Times New Roman"/>
        </w:rPr>
        <w:t xml:space="preserve">program </w:t>
      </w:r>
      <w:r w:rsidR="00385374" w:rsidRPr="00DF278B">
        <w:rPr>
          <w:rFonts w:ascii="Times New Roman" w:hAnsi="Times New Roman" w:cs="Times New Roman"/>
        </w:rPr>
        <w:t xml:space="preserve">personnel (DTs, nurses, administrators, teachers, etc.) received </w:t>
      </w:r>
      <w:r w:rsidR="00144AB0" w:rsidRPr="00DF278B">
        <w:rPr>
          <w:rFonts w:ascii="Times New Roman" w:hAnsi="Times New Roman" w:cs="Times New Roman"/>
        </w:rPr>
        <w:t xml:space="preserve">technical </w:t>
      </w:r>
      <w:r w:rsidR="00385374" w:rsidRPr="00DF278B">
        <w:rPr>
          <w:rFonts w:ascii="Times New Roman" w:hAnsi="Times New Roman" w:cs="Times New Roman"/>
        </w:rPr>
        <w:t xml:space="preserve">instruction and guidance on how to perform </w:t>
      </w:r>
      <w:r w:rsidR="00144AB0" w:rsidRPr="00DF278B">
        <w:rPr>
          <w:rFonts w:ascii="Times New Roman" w:hAnsi="Times New Roman" w:cs="Times New Roman"/>
        </w:rPr>
        <w:t xml:space="preserve">their </w:t>
      </w:r>
      <w:r w:rsidR="00385374" w:rsidRPr="00DF278B">
        <w:rPr>
          <w:rFonts w:ascii="Times New Roman" w:hAnsi="Times New Roman" w:cs="Times New Roman"/>
        </w:rPr>
        <w:t xml:space="preserve">individual roles. </w:t>
      </w:r>
    </w:p>
    <w:p w14:paraId="4AC68B2A" w14:textId="5A9A9810" w:rsidR="0003560C" w:rsidRPr="00DF278B" w:rsidRDefault="00385374" w:rsidP="0003560C">
      <w:pPr>
        <w:pStyle w:val="ListParagraph"/>
        <w:numPr>
          <w:ilvl w:val="0"/>
          <w:numId w:val="2"/>
        </w:numPr>
        <w:rPr>
          <w:rFonts w:ascii="Times New Roman" w:hAnsi="Times New Roman" w:cs="Times New Roman"/>
        </w:rPr>
      </w:pPr>
      <w:r w:rsidRPr="00DF278B">
        <w:rPr>
          <w:rFonts w:ascii="Times New Roman" w:hAnsi="Times New Roman" w:cs="Times New Roman"/>
          <w:b/>
          <w:bCs/>
        </w:rPr>
        <w:t>Service Delivery</w:t>
      </w:r>
      <w:r w:rsidRPr="00DF278B">
        <w:rPr>
          <w:rFonts w:ascii="Times New Roman" w:hAnsi="Times New Roman" w:cs="Times New Roman"/>
        </w:rPr>
        <w:t xml:space="preserve"> included all costs associated with performing screenings and refractions </w:t>
      </w:r>
      <w:r w:rsidR="00501AC2" w:rsidRPr="00DF278B">
        <w:rPr>
          <w:rFonts w:ascii="Times New Roman" w:hAnsi="Times New Roman" w:cs="Times New Roman"/>
        </w:rPr>
        <w:t>for schoolchildren</w:t>
      </w:r>
      <w:r w:rsidR="00183362" w:rsidRPr="00DF278B">
        <w:rPr>
          <w:rFonts w:ascii="Times New Roman" w:hAnsi="Times New Roman" w:cs="Times New Roman"/>
        </w:rPr>
        <w:t>. This included payment for specialized opticians to perform refraction and provide</w:t>
      </w:r>
      <w:r w:rsidRPr="00DF278B">
        <w:rPr>
          <w:rFonts w:ascii="Times New Roman" w:hAnsi="Times New Roman" w:cs="Times New Roman"/>
        </w:rPr>
        <w:t xml:space="preserve"> glasses.</w:t>
      </w:r>
      <w:r w:rsidR="00501AC2" w:rsidRPr="00DF278B">
        <w:rPr>
          <w:rFonts w:ascii="Times New Roman" w:hAnsi="Times New Roman" w:cs="Times New Roman"/>
        </w:rPr>
        <w:t xml:space="preserve"> There were two primary models of Service Delivery: </w:t>
      </w:r>
      <w:r w:rsidR="00B46AF5">
        <w:rPr>
          <w:rFonts w:ascii="Times New Roman" w:hAnsi="Times New Roman" w:cs="Times New Roman"/>
        </w:rPr>
        <w:t xml:space="preserve">(i) </w:t>
      </w:r>
      <w:r w:rsidR="00501AC2" w:rsidRPr="00DF278B">
        <w:rPr>
          <w:rFonts w:ascii="Times New Roman" w:hAnsi="Times New Roman" w:cs="Times New Roman"/>
        </w:rPr>
        <w:t xml:space="preserve">one in which opticians traveled to schools to perform refractions and </w:t>
      </w:r>
      <w:r w:rsidR="00B46AF5">
        <w:rPr>
          <w:rFonts w:ascii="Times New Roman" w:hAnsi="Times New Roman" w:cs="Times New Roman"/>
        </w:rPr>
        <w:t xml:space="preserve">(ii) </w:t>
      </w:r>
      <w:r w:rsidR="00501AC2" w:rsidRPr="00DF278B">
        <w:rPr>
          <w:rFonts w:ascii="Times New Roman" w:hAnsi="Times New Roman" w:cs="Times New Roman"/>
        </w:rPr>
        <w:t>one in which schoolchildren were invited to a centralized location to receive refraction services.</w:t>
      </w:r>
      <w:r w:rsidRPr="00DF278B">
        <w:rPr>
          <w:rFonts w:ascii="Times New Roman" w:hAnsi="Times New Roman" w:cs="Times New Roman"/>
        </w:rPr>
        <w:t xml:space="preserve"> </w:t>
      </w:r>
      <w:r w:rsidR="00876E34" w:rsidRPr="00DF278B">
        <w:rPr>
          <w:rFonts w:ascii="Times New Roman" w:hAnsi="Times New Roman" w:cs="Times New Roman"/>
        </w:rPr>
        <w:t>In the</w:t>
      </w:r>
      <w:r w:rsidR="00501AC2" w:rsidRPr="00DF278B">
        <w:rPr>
          <w:rFonts w:ascii="Times New Roman" w:hAnsi="Times New Roman" w:cs="Times New Roman"/>
        </w:rPr>
        <w:t xml:space="preserve"> latter</w:t>
      </w:r>
      <w:r w:rsidR="00876E34" w:rsidRPr="00DF278B">
        <w:rPr>
          <w:rFonts w:ascii="Times New Roman" w:hAnsi="Times New Roman" w:cs="Times New Roman"/>
        </w:rPr>
        <w:t xml:space="preserve"> </w:t>
      </w:r>
      <w:r w:rsidR="00501AC2" w:rsidRPr="00DF278B">
        <w:rPr>
          <w:rFonts w:ascii="Times New Roman" w:hAnsi="Times New Roman" w:cs="Times New Roman"/>
        </w:rPr>
        <w:t>model, which was conducted</w:t>
      </w:r>
      <w:r w:rsidR="00876E34" w:rsidRPr="00DF278B">
        <w:rPr>
          <w:rFonts w:ascii="Times New Roman" w:hAnsi="Times New Roman" w:cs="Times New Roman"/>
        </w:rPr>
        <w:t xml:space="preserve"> </w:t>
      </w:r>
      <w:r w:rsidR="00501AC2" w:rsidRPr="00DF278B">
        <w:rPr>
          <w:rFonts w:ascii="Times New Roman" w:hAnsi="Times New Roman" w:cs="Times New Roman"/>
        </w:rPr>
        <w:t>in</w:t>
      </w:r>
      <w:r w:rsidR="00876E34" w:rsidRPr="00DF278B">
        <w:rPr>
          <w:rFonts w:ascii="Times New Roman" w:hAnsi="Times New Roman" w:cs="Times New Roman"/>
        </w:rPr>
        <w:t xml:space="preserve"> Bone and Bulukumba, costs associated with performing the refraction services centrally were instead aggregated. </w:t>
      </w:r>
    </w:p>
    <w:p w14:paraId="685F860B" w14:textId="2B824010" w:rsidR="00E854F9" w:rsidRPr="00DF278B" w:rsidRDefault="00CC58AF" w:rsidP="0003560C">
      <w:pPr>
        <w:pStyle w:val="ListParagraph"/>
        <w:numPr>
          <w:ilvl w:val="0"/>
          <w:numId w:val="2"/>
        </w:numPr>
        <w:rPr>
          <w:rFonts w:ascii="Times New Roman" w:hAnsi="Times New Roman" w:cs="Times New Roman"/>
        </w:rPr>
      </w:pPr>
      <w:r w:rsidRPr="00DF278B">
        <w:rPr>
          <w:rFonts w:ascii="Times New Roman" w:hAnsi="Times New Roman" w:cs="Times New Roman"/>
          <w:b/>
          <w:bCs/>
        </w:rPr>
        <w:t xml:space="preserve">Helen Keller </w:t>
      </w:r>
      <w:r w:rsidR="00385374" w:rsidRPr="00DF278B">
        <w:rPr>
          <w:rFonts w:ascii="Times New Roman" w:hAnsi="Times New Roman" w:cs="Times New Roman"/>
          <w:b/>
          <w:bCs/>
        </w:rPr>
        <w:t>Programming</w:t>
      </w:r>
      <w:r w:rsidR="00385374" w:rsidRPr="00DF278B">
        <w:rPr>
          <w:rFonts w:ascii="Times New Roman" w:hAnsi="Times New Roman" w:cs="Times New Roman"/>
        </w:rPr>
        <w:t xml:space="preserve"> encompassed additional internal costs borne by </w:t>
      </w:r>
      <w:r w:rsidR="00892F01">
        <w:rPr>
          <w:rFonts w:ascii="Times New Roman" w:hAnsi="Times New Roman" w:cs="Times New Roman"/>
        </w:rPr>
        <w:t>Helen Keller</w:t>
      </w:r>
      <w:r w:rsidR="00385374" w:rsidRPr="00DF278B">
        <w:rPr>
          <w:rFonts w:ascii="Times New Roman" w:hAnsi="Times New Roman" w:cs="Times New Roman"/>
        </w:rPr>
        <w:t>, the NGO with primary oversight for this project, in an effort to more reliably calculate the genuine costs associated with this initiative</w:t>
      </w:r>
      <w:r w:rsidR="00792297" w:rsidRPr="00DF278B">
        <w:rPr>
          <w:rFonts w:ascii="Times New Roman" w:hAnsi="Times New Roman" w:cs="Times New Roman"/>
        </w:rPr>
        <w:t xml:space="preserve"> without volunteer assistance.</w:t>
      </w:r>
      <w:r w:rsidR="00144AB0" w:rsidRPr="00DF278B">
        <w:rPr>
          <w:rFonts w:ascii="Times New Roman" w:hAnsi="Times New Roman" w:cs="Times New Roman"/>
        </w:rPr>
        <w:t xml:space="preserve"> </w:t>
      </w:r>
    </w:p>
    <w:p w14:paraId="5F79E8EF" w14:textId="62EA1341" w:rsidR="00E854F9" w:rsidRPr="00DF278B" w:rsidRDefault="00E854F9" w:rsidP="00D92327"/>
    <w:p w14:paraId="48F19D2C" w14:textId="518763A0" w:rsidR="00E854F9" w:rsidRPr="00DF278B" w:rsidRDefault="00E854F9" w:rsidP="00D92327">
      <w:r w:rsidRPr="00DF278B">
        <w:t xml:space="preserve">Within each </w:t>
      </w:r>
      <w:r w:rsidR="0095378C" w:rsidRPr="00DF278B">
        <w:rPr>
          <w:i/>
          <w:iCs/>
        </w:rPr>
        <w:t>component</w:t>
      </w:r>
      <w:r w:rsidR="00792297" w:rsidRPr="00DF278B">
        <w:t xml:space="preserve"> above</w:t>
      </w:r>
      <w:r w:rsidRPr="00DF278B">
        <w:t xml:space="preserve">, costs were </w:t>
      </w:r>
      <w:r w:rsidR="00792297" w:rsidRPr="00DF278B">
        <w:t>assessed through</w:t>
      </w:r>
      <w:r w:rsidRPr="00DF278B">
        <w:t xml:space="preserve"> the following </w:t>
      </w:r>
      <w:r w:rsidR="00B15B31">
        <w:t>e</w:t>
      </w:r>
      <w:r w:rsidR="0007750E" w:rsidRPr="00DF278B">
        <w:t xml:space="preserve">xpenditure </w:t>
      </w:r>
      <w:r w:rsidR="00883DF7">
        <w:t>c</w:t>
      </w:r>
      <w:r w:rsidR="0007750E" w:rsidRPr="00DF278B">
        <w:t>ategories</w:t>
      </w:r>
      <w:r w:rsidRPr="00DF278B">
        <w:t>, when applicable</w:t>
      </w:r>
      <w:r w:rsidR="00144AB0" w:rsidRPr="00DF278B">
        <w:t xml:space="preserve"> to that initiative</w:t>
      </w:r>
      <w:r w:rsidRPr="00DF278B">
        <w:t>: Labor, Honorariums, Meeting Packages, Eyeglasses, and Travel</w:t>
      </w:r>
      <w:r w:rsidR="007056E2" w:rsidRPr="00DF278B">
        <w:t xml:space="preserve"> (Supplemental Table 1). </w:t>
      </w:r>
      <w:r w:rsidR="00792297" w:rsidRPr="00DF278B">
        <w:t>Labor was calculated by utilizing publicly available government salary scales for civil workers</w:t>
      </w:r>
      <w:r w:rsidR="00D55CF6" w:rsidRPr="00DF278B">
        <w:rPr>
          <w:rStyle w:val="FootnoteReference"/>
        </w:rPr>
        <w:footnoteReference w:id="1"/>
      </w:r>
      <w:r w:rsidR="00792297" w:rsidRPr="00DF278B">
        <w:t xml:space="preserve"> at </w:t>
      </w:r>
      <w:r w:rsidR="0003560C" w:rsidRPr="00DF278B">
        <w:t>varying levels of</w:t>
      </w:r>
      <w:r w:rsidR="00792297" w:rsidRPr="00DF278B">
        <w:t xml:space="preserve"> experience</w:t>
      </w:r>
      <w:r w:rsidR="00144AB0" w:rsidRPr="00DF278B">
        <w:t>. A</w:t>
      </w:r>
      <w:r w:rsidR="00792297" w:rsidRPr="00DF278B">
        <w:t xml:space="preserve">n hourly wage (assuming a 40-hour work week) was multiplied by the hours spent doing an activity, which was estimated from a combination of </w:t>
      </w:r>
      <w:r w:rsidR="00144AB0" w:rsidRPr="00DF278B">
        <w:t>generated reports</w:t>
      </w:r>
      <w:r w:rsidR="00792297" w:rsidRPr="00DF278B">
        <w:t xml:space="preserve"> </w:t>
      </w:r>
      <w:r w:rsidR="00144AB0" w:rsidRPr="00DF278B">
        <w:t xml:space="preserve">from </w:t>
      </w:r>
      <w:r w:rsidR="00792297" w:rsidRPr="00DF278B">
        <w:t>school</w:t>
      </w:r>
      <w:r w:rsidR="00144AB0" w:rsidRPr="00DF278B">
        <w:t xml:space="preserve">s following screenings </w:t>
      </w:r>
      <w:r w:rsidR="00792297" w:rsidRPr="00DF278B">
        <w:t xml:space="preserve">and meeting itineraries </w:t>
      </w:r>
      <w:r w:rsidR="00144AB0" w:rsidRPr="00DF278B">
        <w:lastRenderedPageBreak/>
        <w:t>from</w:t>
      </w:r>
      <w:r w:rsidR="00792297" w:rsidRPr="00DF278B">
        <w:t xml:space="preserve"> </w:t>
      </w:r>
      <w:r w:rsidR="00256538">
        <w:t>Helen Keller’s</w:t>
      </w:r>
      <w:r w:rsidR="00256538" w:rsidRPr="00DF278B">
        <w:t xml:space="preserve"> </w:t>
      </w:r>
      <w:r w:rsidR="00792297" w:rsidRPr="00DF278B">
        <w:t xml:space="preserve">internal records. Honorariums, Meeting Packages (including facility fees, food, technology, and infrastructure costs) and Travel were calculated from itemized receipts available within </w:t>
      </w:r>
      <w:r w:rsidR="005E6A56" w:rsidRPr="00DF278B">
        <w:t xml:space="preserve">Helen Keller’s </w:t>
      </w:r>
      <w:r w:rsidR="00792297" w:rsidRPr="00DF278B">
        <w:t xml:space="preserve">internal records. </w:t>
      </w:r>
      <w:r w:rsidR="00144039" w:rsidRPr="00DF278B">
        <w:t xml:space="preserve">Finally, Eyeglasses were calculated from a combined quote provided by IROPIN </w:t>
      </w:r>
      <w:r w:rsidR="0003560C" w:rsidRPr="00DF278B">
        <w:t xml:space="preserve">and paid for by </w:t>
      </w:r>
      <w:r w:rsidR="00256538">
        <w:t>Helen Keller</w:t>
      </w:r>
      <w:r w:rsidR="00256538" w:rsidRPr="00DF278B">
        <w:t xml:space="preserve"> </w:t>
      </w:r>
      <w:r w:rsidR="00144039" w:rsidRPr="00DF278B">
        <w:t xml:space="preserve">for refraction services and spectacles, such that their specialized services remained profitable. </w:t>
      </w:r>
      <w:r w:rsidR="009571E4" w:rsidRPr="00DF278B">
        <w:t xml:space="preserve">On occasion, there were fixed program costs that were equally applicable to all districts; in these instances, costs were allocated in proportion to the number of students screened in that district. </w:t>
      </w:r>
    </w:p>
    <w:p w14:paraId="7C5D4EB0" w14:textId="22A0C37B" w:rsidR="00A962AE" w:rsidRPr="00DF278B" w:rsidRDefault="00A962AE" w:rsidP="00D92327"/>
    <w:p w14:paraId="2FBCCAE1" w14:textId="1366ABE8" w:rsidR="00A962AE" w:rsidRPr="00DF278B" w:rsidRDefault="00A962AE" w:rsidP="00D92327">
      <w:r w:rsidRPr="00DF278B">
        <w:rPr>
          <w:i/>
          <w:iCs/>
        </w:rPr>
        <w:t>Inclusion and Exclusion Criteria</w:t>
      </w:r>
    </w:p>
    <w:p w14:paraId="78CF2A4B" w14:textId="2837D0A1" w:rsidR="00AB41DB" w:rsidRPr="00DF278B" w:rsidRDefault="00A962AE" w:rsidP="00D92327">
      <w:r w:rsidRPr="00DF278B">
        <w:t xml:space="preserve">Data from </w:t>
      </w:r>
      <w:r w:rsidR="00AB41DB" w:rsidRPr="00DF278B">
        <w:t xml:space="preserve">all </w:t>
      </w:r>
      <w:r w:rsidRPr="00DF278B">
        <w:t>students screened in middle schools (</w:t>
      </w:r>
      <w:r w:rsidR="00943218" w:rsidRPr="00DF278B">
        <w:t>7</w:t>
      </w:r>
      <w:r w:rsidRPr="00DF278B">
        <w:rPr>
          <w:vertAlign w:val="superscript"/>
        </w:rPr>
        <w:t>th</w:t>
      </w:r>
      <w:r w:rsidRPr="00DF278B">
        <w:t>-</w:t>
      </w:r>
      <w:r w:rsidR="00C239FD" w:rsidRPr="00DF278B">
        <w:t>9</w:t>
      </w:r>
      <w:r w:rsidRPr="00DF278B">
        <w:rPr>
          <w:vertAlign w:val="superscript"/>
        </w:rPr>
        <w:t>th</w:t>
      </w:r>
      <w:r w:rsidRPr="00DF278B">
        <w:t xml:space="preserve"> grade) of the six aforementioned </w:t>
      </w:r>
      <w:r w:rsidR="00F57F7F" w:rsidRPr="00DF278B">
        <w:t xml:space="preserve">districts </w:t>
      </w:r>
      <w:r w:rsidRPr="00DF278B">
        <w:t>between August 2017</w:t>
      </w:r>
      <w:r w:rsidR="00AB41DB" w:rsidRPr="00DF278B">
        <w:t xml:space="preserve"> and </w:t>
      </w:r>
      <w:r w:rsidRPr="00DF278B">
        <w:t>March 2018 were included in the study.</w:t>
      </w:r>
      <w:r w:rsidR="00AB41DB" w:rsidRPr="00DF278B">
        <w:t xml:space="preserve"> This included both </w:t>
      </w:r>
      <w:r w:rsidR="00AB41DB" w:rsidRPr="00DF278B">
        <w:rPr>
          <w:i/>
          <w:iCs/>
        </w:rPr>
        <w:t>Costs</w:t>
      </w:r>
      <w:r w:rsidR="00AB41DB" w:rsidRPr="00DF278B">
        <w:t xml:space="preserve"> and </w:t>
      </w:r>
      <w:r w:rsidR="00AB41DB" w:rsidRPr="00DF278B">
        <w:rPr>
          <w:i/>
          <w:iCs/>
        </w:rPr>
        <w:t>Outcomes</w:t>
      </w:r>
      <w:r w:rsidRPr="00DF278B">
        <w:t xml:space="preserve"> </w:t>
      </w:r>
      <w:r w:rsidR="00AB41DB" w:rsidRPr="00DF278B">
        <w:t xml:space="preserve">data, as outlined above. All </w:t>
      </w:r>
      <w:r w:rsidR="00753E84" w:rsidRPr="00DF278B">
        <w:rPr>
          <w:i/>
          <w:iCs/>
        </w:rPr>
        <w:t>Outcomes</w:t>
      </w:r>
      <w:r w:rsidR="00AB41DB" w:rsidRPr="00DF278B">
        <w:t xml:space="preserve"> data submitted by </w:t>
      </w:r>
      <w:r w:rsidRPr="00DF278B">
        <w:t xml:space="preserve">schools </w:t>
      </w:r>
      <w:r w:rsidR="00AB41DB" w:rsidRPr="00DF278B">
        <w:t>underwent central</w:t>
      </w:r>
      <w:r w:rsidRPr="00DF278B">
        <w:t xml:space="preserve"> </w:t>
      </w:r>
      <w:r w:rsidR="00AB41DB" w:rsidRPr="00DF278B">
        <w:t>auditing</w:t>
      </w:r>
      <w:r w:rsidRPr="00DF278B">
        <w:t xml:space="preserve"> by </w:t>
      </w:r>
      <w:r w:rsidR="00256538">
        <w:t>Helen Keller</w:t>
      </w:r>
      <w:r w:rsidR="00256538" w:rsidRPr="00DF278B">
        <w:t xml:space="preserve"> </w:t>
      </w:r>
      <w:r w:rsidRPr="00DF278B">
        <w:t>and research personnel</w:t>
      </w:r>
      <w:r w:rsidR="0003560C" w:rsidRPr="00DF278B">
        <w:t xml:space="preserve"> for accuracy and integrity</w:t>
      </w:r>
      <w:r w:rsidR="00AB41DB" w:rsidRPr="00DF278B">
        <w:t xml:space="preserve">. </w:t>
      </w:r>
      <w:r w:rsidR="0003560C" w:rsidRPr="00DF278B">
        <w:t>S</w:t>
      </w:r>
      <w:r w:rsidR="00AB41DB" w:rsidRPr="00DF278B">
        <w:t>chools</w:t>
      </w:r>
      <w:r w:rsidR="00C907C4" w:rsidRPr="00DF278B">
        <w:t xml:space="preserve"> were excluded from the analysis </w:t>
      </w:r>
      <w:r w:rsidR="00F57F7F" w:rsidRPr="00DF278B">
        <w:t xml:space="preserve">if </w:t>
      </w:r>
      <w:r w:rsidR="00C907C4" w:rsidRPr="00DF278B">
        <w:t>they:</w:t>
      </w:r>
      <w:r w:rsidR="00AB41DB" w:rsidRPr="00DF278B">
        <w:t xml:space="preserve"> </w:t>
      </w:r>
      <w:r w:rsidR="00C907C4" w:rsidRPr="00DF278B">
        <w:t>did not provide screening data;</w:t>
      </w:r>
      <w:r w:rsidR="00AB41DB" w:rsidRPr="00DF278B">
        <w:t xml:space="preserve"> closed during the study period</w:t>
      </w:r>
      <w:r w:rsidR="00C907C4" w:rsidRPr="00DF278B">
        <w:t>;</w:t>
      </w:r>
      <w:r w:rsidR="00AB41DB" w:rsidRPr="00DF278B">
        <w:t xml:space="preserve"> </w:t>
      </w:r>
      <w:r w:rsidR="00753E84" w:rsidRPr="00DF278B">
        <w:t>had students graduate prior to receiving refraction or glasses</w:t>
      </w:r>
      <w:r w:rsidR="00C907C4" w:rsidRPr="00DF278B">
        <w:t>;</w:t>
      </w:r>
      <w:r w:rsidR="00753E84" w:rsidRPr="00DF278B">
        <w:t xml:space="preserve"> </w:t>
      </w:r>
      <w:r w:rsidR="00AB41DB" w:rsidRPr="00DF278B">
        <w:t xml:space="preserve">or were found to provide inconsistent or </w:t>
      </w:r>
      <w:r w:rsidR="00C907C4" w:rsidRPr="00DF278B">
        <w:t>unreliable</w:t>
      </w:r>
      <w:r w:rsidR="00AB41DB" w:rsidRPr="00DF278B">
        <w:t xml:space="preserve"> data</w:t>
      </w:r>
      <w:r w:rsidR="0003560C" w:rsidRPr="00DF278B">
        <w:t xml:space="preserve">. </w:t>
      </w:r>
      <w:r w:rsidR="00AB41DB" w:rsidRPr="00DF278B">
        <w:t xml:space="preserve"> </w:t>
      </w:r>
    </w:p>
    <w:p w14:paraId="5EBA80DD" w14:textId="6279E7A5" w:rsidR="00753E84" w:rsidRPr="00DF278B" w:rsidRDefault="00753E84" w:rsidP="00D92327"/>
    <w:p w14:paraId="0C783DEE" w14:textId="7C88B924" w:rsidR="00A75160" w:rsidRPr="00DF278B" w:rsidRDefault="00876E34" w:rsidP="00D92327">
      <w:r w:rsidRPr="00DF278B">
        <w:t xml:space="preserve">In the </w:t>
      </w:r>
      <w:r w:rsidR="00501AC2" w:rsidRPr="00DF278B">
        <w:t xml:space="preserve">districts </w:t>
      </w:r>
      <w:r w:rsidRPr="00DF278B">
        <w:t xml:space="preserve">of Bone and Bulukumba, </w:t>
      </w:r>
      <w:r w:rsidR="00753E84" w:rsidRPr="00DF278B">
        <w:t>students</w:t>
      </w:r>
      <w:r w:rsidRPr="00DF278B">
        <w:t xml:space="preserve"> </w:t>
      </w:r>
      <w:r w:rsidR="00753E84" w:rsidRPr="00DF278B">
        <w:t>presented to a central</w:t>
      </w:r>
      <w:r w:rsidR="001734A2" w:rsidRPr="00DF278B">
        <w:t>ized</w:t>
      </w:r>
      <w:r w:rsidR="00753E84" w:rsidRPr="00DF278B">
        <w:t xml:space="preserve"> location </w:t>
      </w:r>
      <w:r w:rsidR="00501AC2" w:rsidRPr="00DF278B">
        <w:t xml:space="preserve">within their district </w:t>
      </w:r>
      <w:r w:rsidR="00753E84" w:rsidRPr="00DF278B">
        <w:t>for refraction and glasses delivery</w:t>
      </w:r>
      <w:r w:rsidR="001734A2" w:rsidRPr="00DF278B">
        <w:t>,</w:t>
      </w:r>
      <w:r w:rsidR="00753E84" w:rsidRPr="00DF278B">
        <w:t xml:space="preserve"> </w:t>
      </w:r>
      <w:r w:rsidR="001734A2" w:rsidRPr="00DF278B">
        <w:t>as opposed</w:t>
      </w:r>
      <w:r w:rsidR="00753E84" w:rsidRPr="00DF278B">
        <w:t xml:space="preserve"> </w:t>
      </w:r>
      <w:r w:rsidR="001734A2" w:rsidRPr="00DF278B">
        <w:t xml:space="preserve">to </w:t>
      </w:r>
      <w:r w:rsidR="006541BD" w:rsidRPr="00DF278B">
        <w:t>the delivery of services and equipment to schools</w:t>
      </w:r>
      <w:r w:rsidRPr="00DF278B">
        <w:t xml:space="preserve"> as performed in other districts</w:t>
      </w:r>
      <w:r w:rsidR="00753E84" w:rsidRPr="00DF278B">
        <w:t xml:space="preserve">. </w:t>
      </w:r>
      <w:r w:rsidR="006541BD" w:rsidRPr="00DF278B">
        <w:t xml:space="preserve">These occurred primarily due to geographical </w:t>
      </w:r>
      <w:r w:rsidRPr="00DF278B">
        <w:t xml:space="preserve">and logistical </w:t>
      </w:r>
      <w:r w:rsidR="006541BD" w:rsidRPr="00DF278B">
        <w:t>constraints</w:t>
      </w:r>
      <w:r w:rsidRPr="00DF278B">
        <w:t>, which necessitated a more expedited approach given that students with imminent graduation would become inaccessible</w:t>
      </w:r>
      <w:r w:rsidR="006541BD" w:rsidRPr="00DF278B">
        <w:t xml:space="preserve">. </w:t>
      </w:r>
      <w:r w:rsidR="00753E84" w:rsidRPr="00DF278B">
        <w:t xml:space="preserve">In these situations, </w:t>
      </w:r>
      <w:r w:rsidR="00144AB0" w:rsidRPr="00DF278B">
        <w:t>costs associated with the centralized screening</w:t>
      </w:r>
      <w:r w:rsidR="001734A2" w:rsidRPr="00DF278B">
        <w:t xml:space="preserve"> were still calculated, with </w:t>
      </w:r>
      <w:r w:rsidR="00144039" w:rsidRPr="00DF278B">
        <w:t xml:space="preserve">adjustments in </w:t>
      </w:r>
      <w:r w:rsidR="00144AB0" w:rsidRPr="00DF278B">
        <w:t xml:space="preserve">the </w:t>
      </w:r>
      <w:r w:rsidR="00144039" w:rsidRPr="00DF278B">
        <w:t>Meeting Package and Travel categorie</w:t>
      </w:r>
      <w:r w:rsidR="00144AB0" w:rsidRPr="00DF278B">
        <w:t>s</w:t>
      </w:r>
      <w:r w:rsidR="006541BD" w:rsidRPr="00DF278B">
        <w:t xml:space="preserve"> as appropriate</w:t>
      </w:r>
      <w:r w:rsidR="003A500A" w:rsidRPr="00DF278B">
        <w:t>.</w:t>
      </w:r>
    </w:p>
    <w:p w14:paraId="3CBC4E74" w14:textId="77777777" w:rsidR="00A75160" w:rsidRPr="00DF278B" w:rsidRDefault="00A75160" w:rsidP="00D92327"/>
    <w:p w14:paraId="596A9B56" w14:textId="17C92550" w:rsidR="00A75160" w:rsidRPr="00DF278B" w:rsidRDefault="00A75160" w:rsidP="00A75160">
      <w:pPr>
        <w:rPr>
          <w:i/>
          <w:iCs/>
        </w:rPr>
      </w:pPr>
      <w:r w:rsidRPr="00DF278B">
        <w:rPr>
          <w:i/>
          <w:iCs/>
        </w:rPr>
        <w:t>Key Outcome Measures</w:t>
      </w:r>
    </w:p>
    <w:p w14:paraId="6723287E" w14:textId="65072C3D" w:rsidR="00B40FB7" w:rsidRPr="00DF278B" w:rsidRDefault="00C907C4" w:rsidP="00A75160">
      <w:r w:rsidRPr="00DF278B">
        <w:t>O</w:t>
      </w:r>
      <w:r w:rsidR="00A75160" w:rsidRPr="00DF278B">
        <w:t xml:space="preserve">utcomes for this study included the </w:t>
      </w:r>
      <w:r w:rsidR="00B40FB7" w:rsidRPr="00DF278B">
        <w:t xml:space="preserve">number of students and schools screened, the number of students that failed screening, the number of students and schools that received refractive services, and the number of students that received glasses. In conjunction with </w:t>
      </w:r>
      <w:r w:rsidR="00A75160" w:rsidRPr="00DF278B">
        <w:t xml:space="preserve">the costs outlined above, </w:t>
      </w:r>
      <w:r w:rsidR="00B40FB7" w:rsidRPr="00DF278B">
        <w:t>this information was used to generate the cost per student screened, cost per student refracted, and the cost per student receiving glasses as a measure of the cost</w:t>
      </w:r>
      <w:r w:rsidR="007056E2" w:rsidRPr="00DF278B">
        <w:t>-</w:t>
      </w:r>
      <w:r w:rsidR="00B40FB7" w:rsidRPr="00DF278B">
        <w:t xml:space="preserve">effectiveness of this program. Costs were provided in Indonesian Rupiah (IDR) and US dollars (USD), assuming an exchange rate of 14,200 IDR to 1 USD. </w:t>
      </w:r>
      <w:r w:rsidR="00740269" w:rsidRPr="00DF278B">
        <w:t>Additionally, the cost per disability-adjusted-life-year</w:t>
      </w:r>
      <w:r w:rsidR="00F809E7">
        <w:t xml:space="preserve"> (DALY)</w:t>
      </w:r>
      <w:r w:rsidR="00740269" w:rsidRPr="00DF278B">
        <w:t xml:space="preserve"> </w:t>
      </w:r>
      <w:r w:rsidR="00F809E7">
        <w:t xml:space="preserve">averted </w:t>
      </w:r>
      <w:r w:rsidR="00740269" w:rsidRPr="00DF278B">
        <w:t xml:space="preserve">is also reported, with methodology outlined below. </w:t>
      </w:r>
    </w:p>
    <w:p w14:paraId="7AC1D53B" w14:textId="791E3436" w:rsidR="00740269" w:rsidRPr="00DF278B" w:rsidRDefault="00740269" w:rsidP="00A75160"/>
    <w:p w14:paraId="74CE95D7" w14:textId="4EF354AA" w:rsidR="00B40FB7" w:rsidRPr="00DF278B" w:rsidRDefault="00740269" w:rsidP="00A75160">
      <w:r w:rsidRPr="00DF278B">
        <w:rPr>
          <w:i/>
          <w:iCs/>
        </w:rPr>
        <w:t>Cost-</w:t>
      </w:r>
      <w:r w:rsidR="006A56E2" w:rsidRPr="00DF278B">
        <w:rPr>
          <w:i/>
          <w:iCs/>
        </w:rPr>
        <w:t>U</w:t>
      </w:r>
      <w:r w:rsidRPr="00DF278B">
        <w:rPr>
          <w:i/>
          <w:iCs/>
        </w:rPr>
        <w:t xml:space="preserve">tility Analysis </w:t>
      </w:r>
    </w:p>
    <w:p w14:paraId="02C7F3B5" w14:textId="26ED74AF" w:rsidR="007E7C84" w:rsidRPr="00DF278B" w:rsidRDefault="00740269" w:rsidP="00A75160">
      <w:r w:rsidRPr="00DF278B">
        <w:t>A</w:t>
      </w:r>
      <w:r w:rsidR="0002098D" w:rsidRPr="00DF278B">
        <w:t xml:space="preserve"> </w:t>
      </w:r>
      <w:r w:rsidRPr="00DF278B">
        <w:t>cost-</w:t>
      </w:r>
      <w:r w:rsidR="0002098D" w:rsidRPr="00DF278B">
        <w:t xml:space="preserve">utility sub-analysis was performed </w:t>
      </w:r>
      <w:r w:rsidR="00A91C19" w:rsidRPr="00DF278B">
        <w:t xml:space="preserve">to calculate the cost per DALY averted </w:t>
      </w:r>
      <w:r w:rsidR="006A56E2" w:rsidRPr="00DF278B">
        <w:t>by the OiS activity</w:t>
      </w:r>
      <w:r w:rsidR="0002098D" w:rsidRPr="00DF278B">
        <w:t xml:space="preserve">. </w:t>
      </w:r>
      <w:r w:rsidR="00A91C19" w:rsidRPr="00DF278B">
        <w:t>There were multiple key assumptions for this sub-analysis</w:t>
      </w:r>
      <w:r w:rsidR="007E7C84" w:rsidRPr="00DF278B">
        <w:t>:</w:t>
      </w:r>
    </w:p>
    <w:p w14:paraId="3DC9AFF5" w14:textId="08E1EBF4" w:rsidR="00B4514B" w:rsidRPr="00DF278B" w:rsidRDefault="00B4514B" w:rsidP="007E7C84">
      <w:pPr>
        <w:pStyle w:val="ListParagraph"/>
        <w:numPr>
          <w:ilvl w:val="0"/>
          <w:numId w:val="6"/>
        </w:numPr>
        <w:rPr>
          <w:rFonts w:ascii="Times New Roman" w:hAnsi="Times New Roman" w:cs="Times New Roman"/>
        </w:rPr>
      </w:pPr>
      <w:r w:rsidRPr="00DF278B">
        <w:rPr>
          <w:rFonts w:ascii="Times New Roman" w:hAnsi="Times New Roman" w:cs="Times New Roman"/>
        </w:rPr>
        <w:t xml:space="preserve">For estimated prevalence of </w:t>
      </w:r>
      <w:r w:rsidR="00DB642D">
        <w:rPr>
          <w:rFonts w:ascii="Times New Roman" w:hAnsi="Times New Roman" w:cs="Times New Roman"/>
        </w:rPr>
        <w:t xml:space="preserve">uncorrected </w:t>
      </w:r>
      <w:r w:rsidRPr="00DF278B">
        <w:rPr>
          <w:rFonts w:ascii="Times New Roman" w:hAnsi="Times New Roman" w:cs="Times New Roman"/>
        </w:rPr>
        <w:t xml:space="preserve">refractive error in South Sulawesi, </w:t>
      </w:r>
      <w:r w:rsidR="00156CBF">
        <w:rPr>
          <w:rFonts w:ascii="Times New Roman" w:hAnsi="Times New Roman" w:cs="Times New Roman"/>
        </w:rPr>
        <w:t xml:space="preserve">instead of using the percentage of failed screenings </w:t>
      </w:r>
      <w:r w:rsidR="0071403D">
        <w:rPr>
          <w:rFonts w:ascii="Times New Roman" w:hAnsi="Times New Roman" w:cs="Times New Roman"/>
        </w:rPr>
        <w:t xml:space="preserve">in </w:t>
      </w:r>
      <w:r w:rsidR="00B4434B">
        <w:rPr>
          <w:rFonts w:ascii="Times New Roman" w:hAnsi="Times New Roman" w:cs="Times New Roman"/>
        </w:rPr>
        <w:t xml:space="preserve">the </w:t>
      </w:r>
      <w:r w:rsidR="0071403D">
        <w:rPr>
          <w:rFonts w:ascii="Times New Roman" w:hAnsi="Times New Roman" w:cs="Times New Roman"/>
        </w:rPr>
        <w:t>cohort</w:t>
      </w:r>
      <w:r w:rsidR="00B4434B">
        <w:rPr>
          <w:rFonts w:ascii="Times New Roman" w:hAnsi="Times New Roman" w:cs="Times New Roman"/>
        </w:rPr>
        <w:t xml:space="preserve"> described above</w:t>
      </w:r>
      <w:r w:rsidR="0071403D">
        <w:rPr>
          <w:rFonts w:ascii="Times New Roman" w:hAnsi="Times New Roman" w:cs="Times New Roman"/>
        </w:rPr>
        <w:t xml:space="preserve">, </w:t>
      </w:r>
      <w:r w:rsidRPr="00DF278B">
        <w:rPr>
          <w:rFonts w:ascii="Times New Roman" w:hAnsi="Times New Roman" w:cs="Times New Roman"/>
        </w:rPr>
        <w:t xml:space="preserve">we utilized a </w:t>
      </w:r>
      <w:r w:rsidR="00B4434B">
        <w:rPr>
          <w:rFonts w:ascii="Times New Roman" w:hAnsi="Times New Roman" w:cs="Times New Roman"/>
        </w:rPr>
        <w:t>prevalence</w:t>
      </w:r>
      <w:r w:rsidR="00B4434B" w:rsidRPr="00DF278B">
        <w:rPr>
          <w:rFonts w:ascii="Times New Roman" w:hAnsi="Times New Roman" w:cs="Times New Roman"/>
        </w:rPr>
        <w:t xml:space="preserve"> </w:t>
      </w:r>
      <w:r w:rsidRPr="00DF278B">
        <w:rPr>
          <w:rFonts w:ascii="Times New Roman" w:hAnsi="Times New Roman" w:cs="Times New Roman"/>
        </w:rPr>
        <w:t xml:space="preserve">value </w:t>
      </w:r>
      <w:r w:rsidR="00DB642D">
        <w:rPr>
          <w:rFonts w:ascii="Times New Roman" w:hAnsi="Times New Roman" w:cs="Times New Roman"/>
        </w:rPr>
        <w:t xml:space="preserve">of 18.4% </w:t>
      </w:r>
      <w:r w:rsidRPr="00DF278B">
        <w:rPr>
          <w:rFonts w:ascii="Times New Roman" w:hAnsi="Times New Roman" w:cs="Times New Roman"/>
        </w:rPr>
        <w:t xml:space="preserve">based on </w:t>
      </w:r>
      <w:r w:rsidR="00156CBF" w:rsidRPr="00DF278B">
        <w:rPr>
          <w:rFonts w:ascii="Times New Roman" w:hAnsi="Times New Roman" w:cs="Times New Roman"/>
        </w:rPr>
        <w:t>a</w:t>
      </w:r>
      <w:r w:rsidR="00156CBF">
        <w:rPr>
          <w:rFonts w:ascii="Times New Roman" w:hAnsi="Times New Roman" w:cs="Times New Roman"/>
        </w:rPr>
        <w:t xml:space="preserve">dditional </w:t>
      </w:r>
      <w:r w:rsidR="00F83DCD">
        <w:rPr>
          <w:rFonts w:ascii="Times New Roman" w:hAnsi="Times New Roman" w:cs="Times New Roman"/>
        </w:rPr>
        <w:t>screening</w:t>
      </w:r>
      <w:r w:rsidR="00DB642D">
        <w:rPr>
          <w:rFonts w:ascii="Times New Roman" w:hAnsi="Times New Roman" w:cs="Times New Roman"/>
        </w:rPr>
        <w:t xml:space="preserve"> </w:t>
      </w:r>
      <w:r w:rsidR="00256538">
        <w:rPr>
          <w:rFonts w:ascii="Times New Roman" w:hAnsi="Times New Roman" w:cs="Times New Roman"/>
        </w:rPr>
        <w:t>activities</w:t>
      </w:r>
      <w:r w:rsidR="00256538" w:rsidRPr="00DF278B">
        <w:rPr>
          <w:rFonts w:ascii="Times New Roman" w:hAnsi="Times New Roman" w:cs="Times New Roman"/>
        </w:rPr>
        <w:t xml:space="preserve"> </w:t>
      </w:r>
      <w:r w:rsidR="00156CBF" w:rsidRPr="00DF278B">
        <w:rPr>
          <w:rFonts w:ascii="Times New Roman" w:hAnsi="Times New Roman" w:cs="Times New Roman"/>
        </w:rPr>
        <w:t xml:space="preserve">conducted by </w:t>
      </w:r>
      <w:r w:rsidR="00256538">
        <w:rPr>
          <w:rFonts w:ascii="Times New Roman" w:hAnsi="Times New Roman" w:cs="Times New Roman"/>
          <w:iCs/>
        </w:rPr>
        <w:t>Helen Keller</w:t>
      </w:r>
      <w:r w:rsidR="00256538" w:rsidRPr="00DF278B">
        <w:rPr>
          <w:rFonts w:ascii="Times New Roman" w:hAnsi="Times New Roman" w:cs="Times New Roman"/>
        </w:rPr>
        <w:t xml:space="preserve"> </w:t>
      </w:r>
      <w:r w:rsidR="00156CBF" w:rsidRPr="00DF278B">
        <w:rPr>
          <w:rFonts w:ascii="Times New Roman" w:hAnsi="Times New Roman" w:cs="Times New Roman"/>
        </w:rPr>
        <w:t>in</w:t>
      </w:r>
      <w:r w:rsidR="004E302B">
        <w:rPr>
          <w:rFonts w:ascii="Times New Roman" w:hAnsi="Times New Roman" w:cs="Times New Roman"/>
        </w:rPr>
        <w:t xml:space="preserve"> junior high schools in</w:t>
      </w:r>
      <w:r w:rsidR="00156CBF" w:rsidRPr="00DF278B">
        <w:rPr>
          <w:rFonts w:ascii="Times New Roman" w:hAnsi="Times New Roman" w:cs="Times New Roman"/>
        </w:rPr>
        <w:t xml:space="preserve"> </w:t>
      </w:r>
      <w:r w:rsidR="00156CBF">
        <w:rPr>
          <w:rFonts w:ascii="Times New Roman" w:hAnsi="Times New Roman" w:cs="Times New Roman"/>
        </w:rPr>
        <w:t>the province</w:t>
      </w:r>
      <w:r w:rsidR="00DB642D">
        <w:rPr>
          <w:rFonts w:ascii="Times New Roman" w:hAnsi="Times New Roman" w:cs="Times New Roman"/>
        </w:rPr>
        <w:t xml:space="preserve"> </w:t>
      </w:r>
      <w:r w:rsidR="00156CBF">
        <w:rPr>
          <w:rFonts w:ascii="Times New Roman" w:hAnsi="Times New Roman" w:cs="Times New Roman"/>
        </w:rPr>
        <w:t>of South Sulawesi</w:t>
      </w:r>
      <w:r w:rsidR="0071403D" w:rsidRPr="0071403D">
        <w:rPr>
          <w:rFonts w:ascii="Times New Roman" w:hAnsi="Times New Roman" w:cs="Times New Roman"/>
        </w:rPr>
        <w:t xml:space="preserve"> </w:t>
      </w:r>
      <w:r w:rsidR="0071403D" w:rsidRPr="00DF278B">
        <w:rPr>
          <w:rFonts w:ascii="Times New Roman" w:hAnsi="Times New Roman" w:cs="Times New Roman"/>
        </w:rPr>
        <w:t>between</w:t>
      </w:r>
      <w:r w:rsidR="00256538">
        <w:rPr>
          <w:rFonts w:ascii="Times New Roman" w:hAnsi="Times New Roman" w:cs="Times New Roman"/>
        </w:rPr>
        <w:t xml:space="preserve"> </w:t>
      </w:r>
      <w:r w:rsidR="004E302B">
        <w:rPr>
          <w:rFonts w:ascii="Times New Roman" w:hAnsi="Times New Roman" w:cs="Times New Roman"/>
        </w:rPr>
        <w:t xml:space="preserve"> 2019</w:t>
      </w:r>
      <w:r w:rsidR="00DB642D">
        <w:rPr>
          <w:rFonts w:ascii="Times New Roman" w:hAnsi="Times New Roman" w:cs="Times New Roman"/>
        </w:rPr>
        <w:t xml:space="preserve"> and </w:t>
      </w:r>
      <w:r w:rsidR="0071403D" w:rsidRPr="00DF278B">
        <w:rPr>
          <w:rFonts w:ascii="Times New Roman" w:hAnsi="Times New Roman" w:cs="Times New Roman"/>
        </w:rPr>
        <w:t>20</w:t>
      </w:r>
      <w:r w:rsidR="0071403D">
        <w:rPr>
          <w:rFonts w:ascii="Times New Roman" w:hAnsi="Times New Roman" w:cs="Times New Roman"/>
        </w:rPr>
        <w:t>20.</w:t>
      </w:r>
      <w:r w:rsidR="001F14C6">
        <w:rPr>
          <w:rStyle w:val="FootnoteReference"/>
          <w:rFonts w:ascii="Times New Roman" w:hAnsi="Times New Roman" w:cs="Times New Roman"/>
        </w:rPr>
        <w:footnoteReference w:id="2"/>
      </w:r>
      <w:r w:rsidR="00156CBF" w:rsidRPr="00DF278B">
        <w:rPr>
          <w:rFonts w:ascii="Times New Roman" w:hAnsi="Times New Roman" w:cs="Times New Roman"/>
        </w:rPr>
        <w:t xml:space="preserve"> </w:t>
      </w:r>
      <w:r w:rsidRPr="00DF278B">
        <w:rPr>
          <w:rFonts w:ascii="Times New Roman" w:hAnsi="Times New Roman" w:cs="Times New Roman"/>
        </w:rPr>
        <w:t xml:space="preserve"> </w:t>
      </w:r>
      <w:r w:rsidR="00FA0A06">
        <w:rPr>
          <w:rFonts w:ascii="Times New Roman" w:hAnsi="Times New Roman" w:cs="Times New Roman"/>
        </w:rPr>
        <w:t xml:space="preserve">The reason for this was that </w:t>
      </w:r>
      <w:r w:rsidR="00C66BEA">
        <w:rPr>
          <w:rFonts w:ascii="Times New Roman" w:hAnsi="Times New Roman" w:cs="Times New Roman"/>
        </w:rPr>
        <w:t xml:space="preserve">the eyeglass distribution program described in this report </w:t>
      </w:r>
      <w:r w:rsidRPr="00DF278B">
        <w:rPr>
          <w:rFonts w:ascii="Times New Roman" w:hAnsi="Times New Roman" w:cs="Times New Roman"/>
        </w:rPr>
        <w:t>utilized a</w:t>
      </w:r>
      <w:r w:rsidR="00FA0A06">
        <w:rPr>
          <w:rFonts w:ascii="Times New Roman" w:hAnsi="Times New Roman" w:cs="Times New Roman"/>
        </w:rPr>
        <w:t xml:space="preserve"> </w:t>
      </w:r>
      <w:r w:rsidRPr="00DF278B">
        <w:rPr>
          <w:rFonts w:ascii="Times New Roman" w:hAnsi="Times New Roman" w:cs="Times New Roman"/>
        </w:rPr>
        <w:t xml:space="preserve">VA screening threshold </w:t>
      </w:r>
      <w:r w:rsidR="00FA0A06">
        <w:rPr>
          <w:rFonts w:ascii="Times New Roman" w:hAnsi="Times New Roman" w:cs="Times New Roman"/>
        </w:rPr>
        <w:t xml:space="preserve">of </w:t>
      </w:r>
      <w:r w:rsidR="00B46AF5">
        <w:rPr>
          <w:rFonts w:ascii="Times New Roman" w:hAnsi="Times New Roman" w:cs="Times New Roman"/>
        </w:rPr>
        <w:t>&lt;</w:t>
      </w:r>
      <w:r w:rsidRPr="00DF278B">
        <w:rPr>
          <w:rFonts w:ascii="Times New Roman" w:hAnsi="Times New Roman" w:cs="Times New Roman"/>
        </w:rPr>
        <w:t>6/18</w:t>
      </w:r>
      <w:r w:rsidR="003603D7">
        <w:rPr>
          <w:rFonts w:ascii="Times New Roman" w:hAnsi="Times New Roman" w:cs="Times New Roman"/>
        </w:rPr>
        <w:t xml:space="preserve">. </w:t>
      </w:r>
      <w:r w:rsidR="00DB642D">
        <w:rPr>
          <w:rFonts w:ascii="Times New Roman" w:hAnsi="Times New Roman" w:cs="Times New Roman"/>
        </w:rPr>
        <w:t xml:space="preserve">However, </w:t>
      </w:r>
      <w:r w:rsidR="0071403D">
        <w:rPr>
          <w:rFonts w:ascii="Times New Roman" w:hAnsi="Times New Roman" w:cs="Times New Roman"/>
        </w:rPr>
        <w:t xml:space="preserve">the </w:t>
      </w:r>
      <w:r w:rsidR="00B46AF5">
        <w:rPr>
          <w:rFonts w:ascii="Times New Roman" w:hAnsi="Times New Roman" w:cs="Times New Roman"/>
        </w:rPr>
        <w:t>&lt;</w:t>
      </w:r>
      <w:r w:rsidR="0071403D">
        <w:rPr>
          <w:rFonts w:ascii="Times New Roman" w:hAnsi="Times New Roman" w:cs="Times New Roman"/>
        </w:rPr>
        <w:t xml:space="preserve">6/12 threshold </w:t>
      </w:r>
      <w:r w:rsidR="00FA0A06">
        <w:rPr>
          <w:rFonts w:ascii="Times New Roman" w:hAnsi="Times New Roman" w:cs="Times New Roman"/>
        </w:rPr>
        <w:t xml:space="preserve">used in the additional </w:t>
      </w:r>
      <w:r w:rsidR="00F83DCD">
        <w:rPr>
          <w:rFonts w:ascii="Times New Roman" w:hAnsi="Times New Roman" w:cs="Times New Roman"/>
        </w:rPr>
        <w:t xml:space="preserve">screening </w:t>
      </w:r>
      <w:r w:rsidR="00256538">
        <w:rPr>
          <w:rFonts w:ascii="Times New Roman" w:hAnsi="Times New Roman" w:cs="Times New Roman"/>
        </w:rPr>
        <w:t xml:space="preserve">activities </w:t>
      </w:r>
      <w:r w:rsidR="009A208B">
        <w:rPr>
          <w:rFonts w:ascii="Times New Roman" w:hAnsi="Times New Roman" w:cs="Times New Roman"/>
        </w:rPr>
        <w:t xml:space="preserve">was deemed more </w:t>
      </w:r>
      <w:r w:rsidR="00BC55C3">
        <w:rPr>
          <w:rFonts w:ascii="Times New Roman" w:hAnsi="Times New Roman" w:cs="Times New Roman"/>
        </w:rPr>
        <w:t>relevant</w:t>
      </w:r>
      <w:r w:rsidR="0071403D">
        <w:rPr>
          <w:rFonts w:ascii="Times New Roman" w:hAnsi="Times New Roman" w:cs="Times New Roman"/>
        </w:rPr>
        <w:t xml:space="preserve"> </w:t>
      </w:r>
      <w:r w:rsidR="00BC55C3">
        <w:rPr>
          <w:rFonts w:ascii="Times New Roman" w:hAnsi="Times New Roman" w:cs="Times New Roman"/>
        </w:rPr>
        <w:t>to current and</w:t>
      </w:r>
      <w:r w:rsidR="0071403D">
        <w:rPr>
          <w:rFonts w:ascii="Times New Roman" w:hAnsi="Times New Roman" w:cs="Times New Roman"/>
        </w:rPr>
        <w:t xml:space="preserve"> future </w:t>
      </w:r>
      <w:r w:rsidR="00256538">
        <w:rPr>
          <w:rFonts w:ascii="Times New Roman" w:hAnsi="Times New Roman" w:cs="Times New Roman"/>
          <w:iCs/>
        </w:rPr>
        <w:t xml:space="preserve">Helen </w:t>
      </w:r>
      <w:r w:rsidR="00256538">
        <w:rPr>
          <w:rFonts w:ascii="Times New Roman" w:hAnsi="Times New Roman" w:cs="Times New Roman"/>
          <w:iCs/>
        </w:rPr>
        <w:lastRenderedPageBreak/>
        <w:t>Keller</w:t>
      </w:r>
      <w:r w:rsidR="00256538">
        <w:rPr>
          <w:rFonts w:ascii="Times New Roman" w:hAnsi="Times New Roman" w:cs="Times New Roman"/>
          <w:i/>
          <w:iCs/>
        </w:rPr>
        <w:t xml:space="preserve"> </w:t>
      </w:r>
      <w:r w:rsidR="009A208B" w:rsidRPr="009A208B">
        <w:rPr>
          <w:rFonts w:ascii="Times New Roman" w:hAnsi="Times New Roman" w:cs="Times New Roman"/>
        </w:rPr>
        <w:t>activities</w:t>
      </w:r>
      <w:r w:rsidR="00B46AF5">
        <w:rPr>
          <w:rFonts w:ascii="Times New Roman" w:hAnsi="Times New Roman" w:cs="Times New Roman"/>
        </w:rPr>
        <w:t>, while also corresponding to the WHO definition of “mild vision impairment”</w:t>
      </w:r>
      <w:r w:rsidR="009A208B">
        <w:rPr>
          <w:rFonts w:ascii="Times New Roman" w:hAnsi="Times New Roman" w:cs="Times New Roman"/>
        </w:rPr>
        <w:t>.</w:t>
      </w:r>
      <w:r w:rsidR="005A1CD0" w:rsidRPr="00DF278B">
        <w:rPr>
          <w:rFonts w:ascii="Times New Roman" w:hAnsi="Times New Roman" w:cs="Times New Roman"/>
        </w:rPr>
        <w:t xml:space="preserve"> </w:t>
      </w:r>
    </w:p>
    <w:p w14:paraId="044E8507" w14:textId="6268C4AB" w:rsidR="00792A38" w:rsidRDefault="00BD2030" w:rsidP="007E7C84">
      <w:pPr>
        <w:pStyle w:val="ListParagraph"/>
        <w:numPr>
          <w:ilvl w:val="0"/>
          <w:numId w:val="6"/>
        </w:numPr>
        <w:rPr>
          <w:rFonts w:ascii="Times New Roman" w:hAnsi="Times New Roman" w:cs="Times New Roman"/>
        </w:rPr>
      </w:pPr>
      <w:r w:rsidRPr="00DF278B">
        <w:rPr>
          <w:rFonts w:ascii="Times New Roman" w:hAnsi="Times New Roman" w:cs="Times New Roman"/>
        </w:rPr>
        <w:t>In calculating</w:t>
      </w:r>
      <w:r w:rsidR="007E7C84" w:rsidRPr="00DF278B">
        <w:rPr>
          <w:rFonts w:ascii="Times New Roman" w:hAnsi="Times New Roman" w:cs="Times New Roman"/>
        </w:rPr>
        <w:t xml:space="preserve"> disability weights, we </w:t>
      </w:r>
      <w:r w:rsidR="00740269" w:rsidRPr="00DF278B">
        <w:rPr>
          <w:rFonts w:ascii="Times New Roman" w:hAnsi="Times New Roman" w:cs="Times New Roman"/>
        </w:rPr>
        <w:t xml:space="preserve">first </w:t>
      </w:r>
      <w:r w:rsidR="007E7C84" w:rsidRPr="00DF278B">
        <w:rPr>
          <w:rFonts w:ascii="Times New Roman" w:hAnsi="Times New Roman" w:cs="Times New Roman"/>
        </w:rPr>
        <w:t xml:space="preserve">assumed the following </w:t>
      </w:r>
      <w:r w:rsidR="00122F6C">
        <w:rPr>
          <w:rFonts w:ascii="Times New Roman" w:hAnsi="Times New Roman" w:cs="Times New Roman"/>
        </w:rPr>
        <w:t>vision impairment</w:t>
      </w:r>
      <w:r w:rsidR="007E7C84" w:rsidRPr="00DF278B">
        <w:rPr>
          <w:rFonts w:ascii="Times New Roman" w:hAnsi="Times New Roman" w:cs="Times New Roman"/>
        </w:rPr>
        <w:t xml:space="preserve"> </w:t>
      </w:r>
      <w:r w:rsidR="00122F6C">
        <w:rPr>
          <w:rFonts w:ascii="Times New Roman" w:hAnsi="Times New Roman" w:cs="Times New Roman"/>
        </w:rPr>
        <w:t xml:space="preserve">due to uncorrected refractive error severity </w:t>
      </w:r>
      <w:r w:rsidR="007E7C84" w:rsidRPr="00DF278B">
        <w:rPr>
          <w:rFonts w:ascii="Times New Roman" w:hAnsi="Times New Roman" w:cs="Times New Roman"/>
        </w:rPr>
        <w:t xml:space="preserve">breakdown based on </w:t>
      </w:r>
      <w:r w:rsidR="00792A38">
        <w:rPr>
          <w:rFonts w:ascii="Times New Roman" w:hAnsi="Times New Roman" w:cs="Times New Roman"/>
        </w:rPr>
        <w:t xml:space="preserve">the additional </w:t>
      </w:r>
      <w:r w:rsidR="00F83DCD">
        <w:rPr>
          <w:rFonts w:ascii="Times New Roman" w:hAnsi="Times New Roman" w:cs="Times New Roman"/>
        </w:rPr>
        <w:t xml:space="preserve">screening </w:t>
      </w:r>
      <w:r w:rsidR="00256538">
        <w:rPr>
          <w:rFonts w:ascii="Times New Roman" w:hAnsi="Times New Roman" w:cs="Times New Roman"/>
        </w:rPr>
        <w:t>activities</w:t>
      </w:r>
      <w:r w:rsidRPr="00DF278B">
        <w:rPr>
          <w:rFonts w:ascii="Times New Roman" w:hAnsi="Times New Roman" w:cs="Times New Roman"/>
        </w:rPr>
        <w:t xml:space="preserve"> by </w:t>
      </w:r>
      <w:r w:rsidRPr="00DF278B">
        <w:rPr>
          <w:rFonts w:ascii="Times New Roman" w:hAnsi="Times New Roman" w:cs="Times New Roman"/>
          <w:i/>
          <w:iCs/>
        </w:rPr>
        <w:t>Helen Keller</w:t>
      </w:r>
      <w:r w:rsidRPr="00DF278B">
        <w:rPr>
          <w:rFonts w:ascii="Times New Roman" w:hAnsi="Times New Roman" w:cs="Times New Roman"/>
        </w:rPr>
        <w:t xml:space="preserve"> in </w:t>
      </w:r>
      <w:r w:rsidR="00792A38">
        <w:rPr>
          <w:rFonts w:ascii="Times New Roman" w:hAnsi="Times New Roman" w:cs="Times New Roman"/>
        </w:rPr>
        <w:t>South Sulawesi</w:t>
      </w:r>
      <w:r w:rsidR="007E7C84" w:rsidRPr="00DF278B">
        <w:rPr>
          <w:rFonts w:ascii="Times New Roman" w:hAnsi="Times New Roman" w:cs="Times New Roman"/>
        </w:rPr>
        <w:t xml:space="preserve">: </w:t>
      </w:r>
      <w:r w:rsidR="004E302B">
        <w:rPr>
          <w:rFonts w:ascii="Times New Roman" w:hAnsi="Times New Roman" w:cs="Times New Roman"/>
        </w:rPr>
        <w:t xml:space="preserve"> </w:t>
      </w:r>
      <w:r w:rsidR="00792A38">
        <w:rPr>
          <w:rFonts w:ascii="Times New Roman" w:hAnsi="Times New Roman" w:cs="Times New Roman"/>
        </w:rPr>
        <w:t>6</w:t>
      </w:r>
      <w:r w:rsidR="004E302B">
        <w:rPr>
          <w:rFonts w:ascii="Times New Roman" w:hAnsi="Times New Roman" w:cs="Times New Roman"/>
        </w:rPr>
        <w:t>7,1</w:t>
      </w:r>
      <w:r w:rsidR="00792A38">
        <w:rPr>
          <w:rFonts w:ascii="Times New Roman" w:hAnsi="Times New Roman" w:cs="Times New Roman"/>
        </w:rPr>
        <w:t>%</w:t>
      </w:r>
      <w:r w:rsidR="00740269" w:rsidRPr="00DF278B">
        <w:rPr>
          <w:rFonts w:ascii="Times New Roman" w:hAnsi="Times New Roman" w:cs="Times New Roman"/>
        </w:rPr>
        <w:t xml:space="preserve"> with “mild” vision loss (VA 6/18 – 6/12), </w:t>
      </w:r>
      <w:r w:rsidR="00792A38">
        <w:rPr>
          <w:rFonts w:ascii="Times New Roman" w:hAnsi="Times New Roman" w:cs="Times New Roman"/>
        </w:rPr>
        <w:t>12</w:t>
      </w:r>
      <w:r w:rsidR="004E302B">
        <w:rPr>
          <w:rFonts w:ascii="Times New Roman" w:hAnsi="Times New Roman" w:cs="Times New Roman"/>
        </w:rPr>
        <w:t>,1</w:t>
      </w:r>
      <w:r w:rsidR="007E7C84" w:rsidRPr="00DF278B">
        <w:rPr>
          <w:rFonts w:ascii="Times New Roman" w:hAnsi="Times New Roman" w:cs="Times New Roman"/>
        </w:rPr>
        <w:t xml:space="preserve">% with </w:t>
      </w:r>
      <w:r w:rsidR="005A1CD0" w:rsidRPr="00DF278B">
        <w:rPr>
          <w:rFonts w:ascii="Times New Roman" w:hAnsi="Times New Roman" w:cs="Times New Roman"/>
        </w:rPr>
        <w:t>“</w:t>
      </w:r>
      <w:r w:rsidR="007E7C84" w:rsidRPr="00DF278B">
        <w:rPr>
          <w:rFonts w:ascii="Times New Roman" w:hAnsi="Times New Roman" w:cs="Times New Roman"/>
        </w:rPr>
        <w:t>moderate</w:t>
      </w:r>
      <w:r w:rsidR="005A1CD0" w:rsidRPr="00DF278B">
        <w:rPr>
          <w:rFonts w:ascii="Times New Roman" w:hAnsi="Times New Roman" w:cs="Times New Roman"/>
        </w:rPr>
        <w:t>”</w:t>
      </w:r>
      <w:r w:rsidR="007E7C84" w:rsidRPr="00DF278B">
        <w:rPr>
          <w:rFonts w:ascii="Times New Roman" w:hAnsi="Times New Roman" w:cs="Times New Roman"/>
        </w:rPr>
        <w:t xml:space="preserve"> vision loss</w:t>
      </w:r>
      <w:r w:rsidR="00740269" w:rsidRPr="00DF278B">
        <w:rPr>
          <w:rFonts w:ascii="Times New Roman" w:hAnsi="Times New Roman" w:cs="Times New Roman"/>
        </w:rPr>
        <w:t xml:space="preserve"> (VA 6/60 – 6/18)</w:t>
      </w:r>
      <w:r w:rsidR="007E7C84" w:rsidRPr="00DF278B">
        <w:rPr>
          <w:rFonts w:ascii="Times New Roman" w:hAnsi="Times New Roman" w:cs="Times New Roman"/>
        </w:rPr>
        <w:t xml:space="preserve">, </w:t>
      </w:r>
      <w:r w:rsidR="00792A38">
        <w:rPr>
          <w:rFonts w:ascii="Times New Roman" w:hAnsi="Times New Roman" w:cs="Times New Roman"/>
        </w:rPr>
        <w:t>11</w:t>
      </w:r>
      <w:r w:rsidR="004E302B">
        <w:rPr>
          <w:rFonts w:ascii="Times New Roman" w:hAnsi="Times New Roman" w:cs="Times New Roman"/>
        </w:rPr>
        <w:t>,8</w:t>
      </w:r>
      <w:r w:rsidR="007E7C84" w:rsidRPr="00DF278B">
        <w:rPr>
          <w:rFonts w:ascii="Times New Roman" w:hAnsi="Times New Roman" w:cs="Times New Roman"/>
        </w:rPr>
        <w:t xml:space="preserve">% with </w:t>
      </w:r>
      <w:r w:rsidR="005A1CD0" w:rsidRPr="00DF278B">
        <w:rPr>
          <w:rFonts w:ascii="Times New Roman" w:hAnsi="Times New Roman" w:cs="Times New Roman"/>
        </w:rPr>
        <w:t>“</w:t>
      </w:r>
      <w:r w:rsidR="007E7C84" w:rsidRPr="00DF278B">
        <w:rPr>
          <w:rFonts w:ascii="Times New Roman" w:hAnsi="Times New Roman" w:cs="Times New Roman"/>
        </w:rPr>
        <w:t>severe</w:t>
      </w:r>
      <w:r w:rsidR="005A1CD0" w:rsidRPr="00DF278B">
        <w:rPr>
          <w:rFonts w:ascii="Times New Roman" w:hAnsi="Times New Roman" w:cs="Times New Roman"/>
        </w:rPr>
        <w:t>”</w:t>
      </w:r>
      <w:r w:rsidR="007E7C84" w:rsidRPr="00DF278B">
        <w:rPr>
          <w:rFonts w:ascii="Times New Roman" w:hAnsi="Times New Roman" w:cs="Times New Roman"/>
        </w:rPr>
        <w:t xml:space="preserve"> vision loss</w:t>
      </w:r>
      <w:r w:rsidR="00740269" w:rsidRPr="00DF278B">
        <w:rPr>
          <w:rFonts w:ascii="Times New Roman" w:hAnsi="Times New Roman" w:cs="Times New Roman"/>
        </w:rPr>
        <w:t xml:space="preserve"> (VA 3/60 – 6/60)</w:t>
      </w:r>
      <w:r w:rsidR="007E7C84" w:rsidRPr="00DF278B">
        <w:rPr>
          <w:rFonts w:ascii="Times New Roman" w:hAnsi="Times New Roman" w:cs="Times New Roman"/>
        </w:rPr>
        <w:t xml:space="preserve">, and </w:t>
      </w:r>
      <w:r w:rsidR="004E302B">
        <w:rPr>
          <w:rFonts w:ascii="Times New Roman" w:hAnsi="Times New Roman" w:cs="Times New Roman"/>
        </w:rPr>
        <w:t>9</w:t>
      </w:r>
      <w:r w:rsidR="007E7C84" w:rsidRPr="00DF278B">
        <w:rPr>
          <w:rFonts w:ascii="Times New Roman" w:hAnsi="Times New Roman" w:cs="Times New Roman"/>
        </w:rPr>
        <w:t xml:space="preserve">% with </w:t>
      </w:r>
      <w:r w:rsidR="00792A38">
        <w:rPr>
          <w:rFonts w:ascii="Times New Roman" w:hAnsi="Times New Roman" w:cs="Times New Roman"/>
        </w:rPr>
        <w:t>other eye conditions.</w:t>
      </w:r>
      <w:r w:rsidR="00792A38" w:rsidRPr="00DF278B">
        <w:rPr>
          <w:rFonts w:ascii="Times New Roman" w:hAnsi="Times New Roman" w:cs="Times New Roman"/>
        </w:rPr>
        <w:t xml:space="preserve"> </w:t>
      </w:r>
      <w:r w:rsidR="0090457C">
        <w:rPr>
          <w:rFonts w:ascii="Times New Roman" w:hAnsi="Times New Roman" w:cs="Times New Roman"/>
        </w:rPr>
        <w:t>We assumed that t</w:t>
      </w:r>
      <w:r w:rsidR="00792A38">
        <w:rPr>
          <w:rFonts w:ascii="Times New Roman" w:hAnsi="Times New Roman" w:cs="Times New Roman"/>
        </w:rPr>
        <w:t xml:space="preserve">hese other conditions </w:t>
      </w:r>
      <w:r w:rsidR="0090457C">
        <w:rPr>
          <w:rFonts w:ascii="Times New Roman" w:hAnsi="Times New Roman" w:cs="Times New Roman"/>
        </w:rPr>
        <w:t>a</w:t>
      </w:r>
      <w:r w:rsidR="00792A38">
        <w:rPr>
          <w:rFonts w:ascii="Times New Roman" w:hAnsi="Times New Roman" w:cs="Times New Roman"/>
        </w:rPr>
        <w:t xml:space="preserve">re </w:t>
      </w:r>
      <w:r w:rsidR="0090457C">
        <w:rPr>
          <w:rFonts w:ascii="Times New Roman" w:hAnsi="Times New Roman" w:cs="Times New Roman"/>
        </w:rPr>
        <w:t xml:space="preserve">distributed </w:t>
      </w:r>
      <w:r w:rsidR="00792A38">
        <w:rPr>
          <w:rFonts w:ascii="Times New Roman" w:hAnsi="Times New Roman" w:cs="Times New Roman"/>
        </w:rPr>
        <w:t>proportionally across the severity spectrum</w:t>
      </w:r>
      <w:r w:rsidR="007E7C84" w:rsidRPr="00DF278B">
        <w:rPr>
          <w:rFonts w:ascii="Times New Roman" w:hAnsi="Times New Roman" w:cs="Times New Roman"/>
        </w:rPr>
        <w:t>.</w:t>
      </w:r>
      <w:r w:rsidR="00740269" w:rsidRPr="00DF278B">
        <w:rPr>
          <w:rFonts w:ascii="Times New Roman" w:hAnsi="Times New Roman" w:cs="Times New Roman"/>
        </w:rPr>
        <w:t xml:space="preserve"> </w:t>
      </w:r>
    </w:p>
    <w:p w14:paraId="592B0915" w14:textId="684DB407" w:rsidR="00792A38" w:rsidRPr="009F3C2B" w:rsidRDefault="00792A38" w:rsidP="009F3C2B">
      <w:pPr>
        <w:pStyle w:val="ListParagraph"/>
        <w:numPr>
          <w:ilvl w:val="0"/>
          <w:numId w:val="6"/>
        </w:numPr>
        <w:rPr>
          <w:rFonts w:ascii="Times New Roman" w:hAnsi="Times New Roman" w:cs="Times New Roman"/>
        </w:rPr>
      </w:pPr>
      <w:r>
        <w:rPr>
          <w:rFonts w:ascii="Times New Roman" w:hAnsi="Times New Roman" w:cs="Times New Roman"/>
        </w:rPr>
        <w:t xml:space="preserve">The disability weights themselves </w:t>
      </w:r>
      <w:r w:rsidR="0090457C">
        <w:rPr>
          <w:rFonts w:ascii="Times New Roman" w:hAnsi="Times New Roman" w:cs="Times New Roman"/>
        </w:rPr>
        <w:t xml:space="preserve">are taken from </w:t>
      </w:r>
      <w:r w:rsidRPr="00DF278B">
        <w:rPr>
          <w:rFonts w:ascii="Times New Roman" w:hAnsi="Times New Roman" w:cs="Times New Roman"/>
        </w:rPr>
        <w:t>Global Burden of Disease (GBD)</w:t>
      </w:r>
      <w:r w:rsidR="003D4240">
        <w:rPr>
          <w:rFonts w:ascii="Times New Roman" w:hAnsi="Times New Roman" w:cs="Times New Roman"/>
        </w:rPr>
        <w:t xml:space="preserve"> study</w:t>
      </w:r>
      <w:r w:rsidRPr="00DF278B">
        <w:rPr>
          <w:rFonts w:ascii="Times New Roman" w:hAnsi="Times New Roman" w:cs="Times New Roman"/>
        </w:rPr>
        <w:t xml:space="preserve"> models</w:t>
      </w:r>
      <w:r>
        <w:rPr>
          <w:rStyle w:val="FootnoteReference"/>
          <w:rFonts w:ascii="Times New Roman" w:hAnsi="Times New Roman" w:cs="Times New Roman"/>
        </w:rPr>
        <w:footnoteReference w:id="3"/>
      </w:r>
      <w:r w:rsidR="003D4240">
        <w:rPr>
          <w:rFonts w:ascii="Times New Roman" w:hAnsi="Times New Roman" w:cs="Times New Roman"/>
          <w:vertAlign w:val="superscript"/>
        </w:rPr>
        <w:t>,</w:t>
      </w:r>
      <w:r w:rsidR="0090457C">
        <w:rPr>
          <w:rStyle w:val="FootnoteReference"/>
          <w:rFonts w:ascii="Times New Roman" w:hAnsi="Times New Roman" w:cs="Times New Roman"/>
        </w:rPr>
        <w:footnoteReference w:id="4"/>
      </w:r>
      <w:r w:rsidR="00740269" w:rsidRPr="009F3C2B">
        <w:rPr>
          <w:rFonts w:ascii="Times New Roman" w:hAnsi="Times New Roman" w:cs="Times New Roman"/>
        </w:rPr>
        <w:t xml:space="preserve">. </w:t>
      </w:r>
      <w:r w:rsidRPr="009F3C2B">
        <w:rPr>
          <w:rFonts w:ascii="Times New Roman" w:hAnsi="Times New Roman" w:cs="Times New Roman"/>
        </w:rPr>
        <w:t>Considering the large difference in accepted GBD weights in 2016 and prior to 2010 for vision-related conditions, both were utilized in our analysis. For both measures, “mild” vision loss was assigned a value of 2/3 the value of “moderate” vision loss, given the lack of an assigned weight in GBD models. Cost per DALY averted are thus reported separately for pre-2010 and 2016 GBD weights.</w:t>
      </w:r>
      <w:r w:rsidRPr="009F3C2B">
        <w:t xml:space="preserve"> </w:t>
      </w:r>
    </w:p>
    <w:p w14:paraId="4E3B7A1D" w14:textId="1A45E438" w:rsidR="007E7C84" w:rsidRDefault="007E7C84" w:rsidP="007E7C84">
      <w:pPr>
        <w:pStyle w:val="ListParagraph"/>
        <w:numPr>
          <w:ilvl w:val="0"/>
          <w:numId w:val="6"/>
        </w:numPr>
        <w:rPr>
          <w:rFonts w:ascii="Times New Roman" w:hAnsi="Times New Roman" w:cs="Times New Roman"/>
        </w:rPr>
      </w:pPr>
      <w:r w:rsidRPr="00DF278B">
        <w:rPr>
          <w:rFonts w:ascii="Times New Roman" w:hAnsi="Times New Roman" w:cs="Times New Roman"/>
        </w:rPr>
        <w:t xml:space="preserve">The expected useful life for a pair of glasses (accounting for </w:t>
      </w:r>
      <w:r w:rsidR="008E3E01">
        <w:rPr>
          <w:rFonts w:ascii="Times New Roman" w:hAnsi="Times New Roman" w:cs="Times New Roman"/>
        </w:rPr>
        <w:t xml:space="preserve">noncompliance, </w:t>
      </w:r>
      <w:r w:rsidRPr="00DF278B">
        <w:rPr>
          <w:rFonts w:ascii="Times New Roman" w:hAnsi="Times New Roman" w:cs="Times New Roman"/>
        </w:rPr>
        <w:t xml:space="preserve">lost or broken glasses and change in refractive error over time) was assumed to be 2 years, consistent with </w:t>
      </w:r>
      <w:r w:rsidR="00F809E7">
        <w:rPr>
          <w:rFonts w:ascii="Times New Roman" w:hAnsi="Times New Roman" w:cs="Times New Roman"/>
        </w:rPr>
        <w:t xml:space="preserve">the range of values used in </w:t>
      </w:r>
      <w:r w:rsidRPr="00DF278B">
        <w:rPr>
          <w:rFonts w:ascii="Times New Roman" w:hAnsi="Times New Roman" w:cs="Times New Roman"/>
        </w:rPr>
        <w:t>previous cost-effectiveness analys</w:t>
      </w:r>
      <w:r w:rsidR="006A56E2" w:rsidRPr="00DF278B">
        <w:rPr>
          <w:rFonts w:ascii="Times New Roman" w:hAnsi="Times New Roman" w:cs="Times New Roman"/>
        </w:rPr>
        <w:t>e</w:t>
      </w:r>
      <w:r w:rsidRPr="00DF278B">
        <w:rPr>
          <w:rFonts w:ascii="Times New Roman" w:hAnsi="Times New Roman" w:cs="Times New Roman"/>
        </w:rPr>
        <w:t>s</w:t>
      </w:r>
      <w:r w:rsidR="00122F6C">
        <w:rPr>
          <w:rFonts w:ascii="Times New Roman" w:hAnsi="Times New Roman" w:cs="Times New Roman"/>
        </w:rPr>
        <w:t xml:space="preserve"> and </w:t>
      </w:r>
      <w:r w:rsidR="00256538">
        <w:rPr>
          <w:rFonts w:ascii="Times New Roman" w:hAnsi="Times New Roman" w:cs="Times New Roman"/>
        </w:rPr>
        <w:t xml:space="preserve">Helen Keller’s </w:t>
      </w:r>
      <w:r w:rsidR="00122F6C">
        <w:rPr>
          <w:rFonts w:ascii="Times New Roman" w:hAnsi="Times New Roman" w:cs="Times New Roman"/>
        </w:rPr>
        <w:t>experience</w:t>
      </w:r>
      <w:r w:rsidRPr="00DF278B">
        <w:rPr>
          <w:rFonts w:ascii="Times New Roman" w:hAnsi="Times New Roman" w:cs="Times New Roman"/>
        </w:rPr>
        <w:t>.</w:t>
      </w:r>
      <w:r w:rsidR="00122F6C">
        <w:rPr>
          <w:rStyle w:val="FootnoteReference"/>
          <w:rFonts w:ascii="Times New Roman" w:hAnsi="Times New Roman" w:cs="Times New Roman"/>
        </w:rPr>
        <w:footnoteReference w:id="5"/>
      </w:r>
    </w:p>
    <w:p w14:paraId="2161299B" w14:textId="22807EAC" w:rsidR="009A208B" w:rsidRPr="00DF278B" w:rsidRDefault="009A208B" w:rsidP="007E7C84">
      <w:pPr>
        <w:pStyle w:val="ListParagraph"/>
        <w:numPr>
          <w:ilvl w:val="0"/>
          <w:numId w:val="6"/>
        </w:numPr>
        <w:rPr>
          <w:rFonts w:ascii="Times New Roman" w:hAnsi="Times New Roman" w:cs="Times New Roman"/>
        </w:rPr>
      </w:pPr>
      <w:r>
        <w:rPr>
          <w:rFonts w:ascii="Times New Roman" w:hAnsi="Times New Roman" w:cs="Times New Roman"/>
        </w:rPr>
        <w:t>The total cost of eyeglasses provided (part of Service Delivery costs) was adjusted</w:t>
      </w:r>
      <w:r w:rsidR="008B0F3C">
        <w:rPr>
          <w:rFonts w:ascii="Times New Roman" w:hAnsi="Times New Roman" w:cs="Times New Roman"/>
        </w:rPr>
        <w:t xml:space="preserve"> </w:t>
      </w:r>
      <w:r>
        <w:rPr>
          <w:rFonts w:ascii="Times New Roman" w:hAnsi="Times New Roman" w:cs="Times New Roman"/>
        </w:rPr>
        <w:t>proportion</w:t>
      </w:r>
      <w:r w:rsidR="008B0F3C">
        <w:rPr>
          <w:rFonts w:ascii="Times New Roman" w:hAnsi="Times New Roman" w:cs="Times New Roman"/>
        </w:rPr>
        <w:t>ally</w:t>
      </w:r>
      <w:r>
        <w:rPr>
          <w:rFonts w:ascii="Times New Roman" w:hAnsi="Times New Roman" w:cs="Times New Roman"/>
        </w:rPr>
        <w:t xml:space="preserve"> to the difference in prevalence described above. While the cost per pair of glasses does not change, the assumed number of eyeglasses provided changes along with prevalence, thus affecting total eyeglasses costs. </w:t>
      </w:r>
    </w:p>
    <w:p w14:paraId="677E7EEF" w14:textId="5568A384" w:rsidR="00AB41DB" w:rsidRPr="00DF278B" w:rsidRDefault="00AB41DB" w:rsidP="00D92327"/>
    <w:p w14:paraId="32915276" w14:textId="64CEA375" w:rsidR="006541BD" w:rsidRPr="00DF278B" w:rsidRDefault="00DB3309" w:rsidP="006541BD">
      <w:pPr>
        <w:rPr>
          <w:color w:val="002060"/>
          <w:sz w:val="28"/>
          <w:szCs w:val="28"/>
        </w:rPr>
      </w:pPr>
      <w:r w:rsidRPr="00DF278B">
        <w:rPr>
          <w:b/>
          <w:bCs/>
          <w:color w:val="002060"/>
          <w:sz w:val="28"/>
          <w:szCs w:val="28"/>
        </w:rPr>
        <w:t>R</w:t>
      </w:r>
      <w:r w:rsidR="00F5385C" w:rsidRPr="00DF278B">
        <w:rPr>
          <w:b/>
          <w:bCs/>
          <w:color w:val="002060"/>
          <w:sz w:val="28"/>
          <w:szCs w:val="28"/>
        </w:rPr>
        <w:t>es</w:t>
      </w:r>
      <w:r w:rsidR="009571E4" w:rsidRPr="00DF278B">
        <w:rPr>
          <w:b/>
          <w:bCs/>
          <w:color w:val="002060"/>
          <w:sz w:val="28"/>
          <w:szCs w:val="28"/>
        </w:rPr>
        <w:t>ults</w:t>
      </w:r>
    </w:p>
    <w:p w14:paraId="330E15BB" w14:textId="77777777" w:rsidR="00633623" w:rsidRPr="00DF278B" w:rsidRDefault="00633623" w:rsidP="006541BD"/>
    <w:p w14:paraId="4CB65AF6" w14:textId="20207C62" w:rsidR="006541BD" w:rsidRPr="00DF278B" w:rsidRDefault="00430D3E" w:rsidP="006541BD">
      <w:r w:rsidRPr="00DF278B">
        <w:t>In total, 521 teachers were trained from 172 schools across six districts</w:t>
      </w:r>
      <w:r w:rsidR="006541BD" w:rsidRPr="00DF278B">
        <w:t xml:space="preserve"> in </w:t>
      </w:r>
      <w:r w:rsidR="0076468B" w:rsidRPr="00DF278B">
        <w:t>South Sulawesi</w:t>
      </w:r>
      <w:r w:rsidR="006541BD" w:rsidRPr="00DF278B">
        <w:t xml:space="preserve">. </w:t>
      </w:r>
      <w:r w:rsidR="00C907C4" w:rsidRPr="00DF278B">
        <w:t>A description of s</w:t>
      </w:r>
      <w:r w:rsidR="00830305" w:rsidRPr="00DF278B">
        <w:t>creening and refracti</w:t>
      </w:r>
      <w:r w:rsidR="00C907C4" w:rsidRPr="00DF278B">
        <w:t xml:space="preserve">ve </w:t>
      </w:r>
      <w:r w:rsidR="00830305" w:rsidRPr="00DF278B">
        <w:t xml:space="preserve">services provided by district are </w:t>
      </w:r>
      <w:r w:rsidR="006541BD" w:rsidRPr="00DF278B">
        <w:t xml:space="preserve">outlined in Table 1. Data from 41,212 students across 170 schools were screened and </w:t>
      </w:r>
      <w:r w:rsidR="00C907C4" w:rsidRPr="00DF278B">
        <w:t>included in the study</w:t>
      </w:r>
      <w:r w:rsidR="00AF6BA3" w:rsidRPr="00DF278B">
        <w:t xml:space="preserve">; </w:t>
      </w:r>
      <w:r w:rsidR="00363645">
        <w:t>two</w:t>
      </w:r>
      <w:r w:rsidR="00AF6BA3" w:rsidRPr="00DF278B">
        <w:t xml:space="preserve"> schools were excluded for missing or duplicate data</w:t>
      </w:r>
      <w:r w:rsidR="00C907C4" w:rsidRPr="00DF278B">
        <w:t xml:space="preserve">. A total of </w:t>
      </w:r>
      <w:r w:rsidR="006541BD" w:rsidRPr="00DF278B">
        <w:t>4,506 students (10.9%)</w:t>
      </w:r>
      <w:r w:rsidR="00830305" w:rsidRPr="00DF278B">
        <w:t xml:space="preserve"> failed</w:t>
      </w:r>
      <w:r w:rsidR="00C907C4" w:rsidRPr="00DF278B">
        <w:t xml:space="preserve"> the vision screening</w:t>
      </w:r>
      <w:r w:rsidR="006541BD" w:rsidRPr="00DF278B">
        <w:t>. Of these, 2,652 students from 148 schools were refracted by IROPIN</w:t>
      </w:r>
      <w:r w:rsidR="00F83DCD">
        <w:t>’s</w:t>
      </w:r>
      <w:r w:rsidR="006541BD" w:rsidRPr="00DF278B">
        <w:t xml:space="preserve"> refraction opticians, and 2,038 students from 145 schools were prescribed glasses and received them at no cost. </w:t>
      </w:r>
      <w:r w:rsidR="00C907C4" w:rsidRPr="00DF278B">
        <w:t xml:space="preserve">The </w:t>
      </w:r>
      <w:r w:rsidR="00D5597C" w:rsidRPr="00DF278B">
        <w:t xml:space="preserve">1,854 </w:t>
      </w:r>
      <w:r w:rsidR="00C907C4" w:rsidRPr="00DF278B">
        <w:t xml:space="preserve">(41.1%) </w:t>
      </w:r>
      <w:r w:rsidR="00D5597C" w:rsidRPr="00DF278B">
        <w:t xml:space="preserve">students that failed their screenings </w:t>
      </w:r>
      <w:r w:rsidR="00C907C4" w:rsidRPr="00DF278B">
        <w:t xml:space="preserve">but did not undergo refraction </w:t>
      </w:r>
      <w:r w:rsidR="00D5597C" w:rsidRPr="00DF278B">
        <w:t xml:space="preserve">were lost to follow-up. </w:t>
      </w:r>
    </w:p>
    <w:p w14:paraId="74ABF31E" w14:textId="77777777" w:rsidR="00CA403E" w:rsidRPr="00DF278B" w:rsidRDefault="00CA403E" w:rsidP="006541BD"/>
    <w:p w14:paraId="538A8493" w14:textId="18F01FCF" w:rsidR="0007750E" w:rsidRPr="00DF278B" w:rsidRDefault="0007750E" w:rsidP="006541BD">
      <w:r w:rsidRPr="00DF278B">
        <w:t xml:space="preserve">The total program costs allocated by Program Initiative and Expenditure Category at the district level can be found in Table 2a and Table 2b, respectively. </w:t>
      </w:r>
      <w:r w:rsidR="009744E8" w:rsidRPr="00DF278B">
        <w:t xml:space="preserve">At a program-wide level, </w:t>
      </w:r>
      <w:r w:rsidRPr="00DF278B">
        <w:t xml:space="preserve">the most cost-intensive program initiative was </w:t>
      </w:r>
      <w:r w:rsidRPr="00DF278B">
        <w:rPr>
          <w:b/>
          <w:bCs/>
        </w:rPr>
        <w:t>Service Delivery</w:t>
      </w:r>
      <w:r w:rsidRPr="00DF278B">
        <w:t xml:space="preserve"> at IDR 676,606,522 ($47,648), which reflected 48.7% of all costs. This was followed by </w:t>
      </w:r>
      <w:r w:rsidRPr="00DF278B">
        <w:rPr>
          <w:b/>
          <w:bCs/>
        </w:rPr>
        <w:t>Training</w:t>
      </w:r>
      <w:r w:rsidRPr="00DF278B">
        <w:t xml:space="preserve"> (29.5%), </w:t>
      </w:r>
      <w:r w:rsidRPr="00DF278B">
        <w:rPr>
          <w:b/>
          <w:bCs/>
        </w:rPr>
        <w:t>Sensitization</w:t>
      </w:r>
      <w:r w:rsidRPr="00DF278B">
        <w:t xml:space="preserve"> (12.8%), and </w:t>
      </w:r>
      <w:r w:rsidRPr="00DF278B">
        <w:rPr>
          <w:b/>
          <w:bCs/>
        </w:rPr>
        <w:t>H</w:t>
      </w:r>
      <w:r w:rsidR="001E5B5C" w:rsidRPr="00DF278B">
        <w:rPr>
          <w:b/>
          <w:bCs/>
        </w:rPr>
        <w:t>elen Keller</w:t>
      </w:r>
      <w:r w:rsidRPr="00DF278B">
        <w:rPr>
          <w:b/>
          <w:bCs/>
        </w:rPr>
        <w:t xml:space="preserve"> Programming</w:t>
      </w:r>
      <w:r w:rsidRPr="00DF278B">
        <w:t xml:space="preserve"> (9.0%). When allocating by </w:t>
      </w:r>
      <w:r w:rsidR="007056E2" w:rsidRPr="00DF278B">
        <w:t>E</w:t>
      </w:r>
      <w:r w:rsidRPr="00DF278B">
        <w:t xml:space="preserve">xpenditure </w:t>
      </w:r>
      <w:r w:rsidR="007056E2" w:rsidRPr="00DF278B">
        <w:t>C</w:t>
      </w:r>
      <w:r w:rsidRPr="00DF278B">
        <w:t xml:space="preserve">ategory, </w:t>
      </w:r>
      <w:r w:rsidR="00E2723E" w:rsidRPr="00DF278B">
        <w:t xml:space="preserve">the </w:t>
      </w:r>
      <w:r w:rsidRPr="00DF278B">
        <w:t xml:space="preserve">highest </w:t>
      </w:r>
      <w:r w:rsidR="00E2723E" w:rsidRPr="00DF278B">
        <w:t xml:space="preserve">cost </w:t>
      </w:r>
      <w:r w:rsidRPr="00DF278B">
        <w:lastRenderedPageBreak/>
        <w:t>was for</w:t>
      </w:r>
      <w:r w:rsidR="00E2723E" w:rsidRPr="00DF278B">
        <w:t xml:space="preserve"> Eyeglasse</w:t>
      </w:r>
      <w:r w:rsidRPr="00DF278B">
        <w:t>s</w:t>
      </w:r>
      <w:r w:rsidR="009744E8" w:rsidRPr="00DF278B">
        <w:t xml:space="preserve"> </w:t>
      </w:r>
      <w:r w:rsidRPr="00DF278B">
        <w:t>at</w:t>
      </w:r>
      <w:r w:rsidR="00E2723E" w:rsidRPr="00DF278B">
        <w:t xml:space="preserve"> IDR 549,766,000 ($38,716) </w:t>
      </w:r>
      <w:r w:rsidRPr="00DF278B">
        <w:t>reflecting</w:t>
      </w:r>
      <w:r w:rsidR="00E2723E" w:rsidRPr="00DF278B">
        <w:t xml:space="preserve"> </w:t>
      </w:r>
      <w:r w:rsidR="009744E8" w:rsidRPr="00DF278B">
        <w:t>39.6</w:t>
      </w:r>
      <w:r w:rsidR="00E2723E" w:rsidRPr="00DF278B">
        <w:t xml:space="preserve">% of </w:t>
      </w:r>
      <w:r w:rsidR="009744E8" w:rsidRPr="00DF278B">
        <w:t>all expenditures</w:t>
      </w:r>
      <w:r w:rsidR="00E2723E" w:rsidRPr="00DF278B">
        <w:t>. This was followed by Meeting Packages (27</w:t>
      </w:r>
      <w:r w:rsidR="009744E8" w:rsidRPr="00DF278B">
        <w:t>.3</w:t>
      </w:r>
      <w:r w:rsidR="00E2723E" w:rsidRPr="00DF278B">
        <w:t>%), Labor (23</w:t>
      </w:r>
      <w:r w:rsidR="009744E8" w:rsidRPr="00DF278B">
        <w:t>.3</w:t>
      </w:r>
      <w:r w:rsidR="00E2723E" w:rsidRPr="00DF278B">
        <w:t>%), Travel (5.</w:t>
      </w:r>
      <w:r w:rsidR="009744E8" w:rsidRPr="00DF278B">
        <w:t>8</w:t>
      </w:r>
      <w:r w:rsidR="00E2723E" w:rsidRPr="00DF278B">
        <w:t xml:space="preserve">%), and Honorariums (4.1%). </w:t>
      </w:r>
    </w:p>
    <w:p w14:paraId="196CDF80" w14:textId="74E82A63" w:rsidR="00133462" w:rsidRPr="00DF278B" w:rsidRDefault="00133462" w:rsidP="006541BD"/>
    <w:p w14:paraId="78C65D44" w14:textId="77777777" w:rsidR="000134B8" w:rsidRDefault="007056E2" w:rsidP="004B4F05">
      <w:r w:rsidRPr="00DF278B">
        <w:t xml:space="preserve">The cost-effectiveness metrics are outlined separately at the district level for school-based refraction services (Table 3a) and central refraction services (Table 3b). </w:t>
      </w:r>
      <w:r w:rsidR="009571E4" w:rsidRPr="00DF278B">
        <w:t xml:space="preserve">In school-based refraction districts (Makassar, Gowa, Palopo, Parepare), the cost per student screened was IDR 36,437 ($2.57), the cost per student refracted was IDR 444,873 ($31.33), and the cost per student receiving glasses was 587,838 ($41.40). By contrast, in central refraction districts (Bone and Bulukumba), the cost per student screened was slightly lower at IDR 29,018 ($2.04), while the cost per student refracted and cost per student receiving glasses were markedly higher at IDR 849,091 ($59.80) and IDR 1,039,786 ($73.22), respectively. </w:t>
      </w:r>
      <w:r w:rsidR="00AF6BA3" w:rsidRPr="00DF278B">
        <w:t xml:space="preserve">Across all districts, the cost per student screened was IDR 33,708 ($2.37) and the cost per student receiving glasses was IDR 518,322 ($36.50). </w:t>
      </w:r>
    </w:p>
    <w:p w14:paraId="0D2F8A84" w14:textId="77777777" w:rsidR="000134B8" w:rsidRDefault="000134B8" w:rsidP="004B4F05"/>
    <w:p w14:paraId="4361281F" w14:textId="115AC4EA" w:rsidR="00AF6BA3" w:rsidRPr="00DF278B" w:rsidRDefault="00AF6BA3" w:rsidP="004B4F05">
      <w:r w:rsidRPr="00DF278B">
        <w:t>Assuming a</w:t>
      </w:r>
      <w:r w:rsidR="00E663A0" w:rsidRPr="00DF278B">
        <w:t xml:space="preserve"> 2 year useful life cycle for a pair of glasses and a</w:t>
      </w:r>
      <w:r w:rsidR="004E302B">
        <w:t>n</w:t>
      </w:r>
      <w:r w:rsidR="00CC6A04">
        <w:t xml:space="preserve"> </w:t>
      </w:r>
      <w:r w:rsidR="004E302B">
        <w:t>18.4</w:t>
      </w:r>
      <w:r w:rsidR="00CC6A04">
        <w:t>%</w:t>
      </w:r>
      <w:bookmarkStart w:id="0" w:name="_GoBack"/>
      <w:bookmarkEnd w:id="0"/>
      <w:r w:rsidRPr="00DF278B">
        <w:t xml:space="preserve"> prevalence of uncorrected refractive error in South Sulawesi (as </w:t>
      </w:r>
      <w:r w:rsidR="00CC6A04">
        <w:t xml:space="preserve">observed in subsequent </w:t>
      </w:r>
      <w:r w:rsidR="00F83DCD">
        <w:t>screening activities</w:t>
      </w:r>
      <w:r w:rsidR="00CC6A04">
        <w:t xml:space="preserve"> by </w:t>
      </w:r>
      <w:r w:rsidR="00CC6A04">
        <w:rPr>
          <w:i/>
          <w:iCs/>
        </w:rPr>
        <w:t>Helen Keller</w:t>
      </w:r>
      <w:r w:rsidR="006509DD">
        <w:rPr>
          <w:rStyle w:val="FootnoteReference"/>
          <w:i/>
          <w:iCs/>
        </w:rPr>
        <w:footnoteReference w:id="6"/>
      </w:r>
      <w:r w:rsidR="00CC6A04">
        <w:t xml:space="preserve"> </w:t>
      </w:r>
      <w:r w:rsidRPr="00DF278B">
        <w:t xml:space="preserve">), the </w:t>
      </w:r>
      <w:r w:rsidR="00BD1F3F">
        <w:t xml:space="preserve">estimated </w:t>
      </w:r>
      <w:r w:rsidRPr="00DF278B">
        <w:t xml:space="preserve">cost per DALY averted was </w:t>
      </w:r>
      <w:r w:rsidR="00E663A0" w:rsidRPr="00DF278B">
        <w:t xml:space="preserve">IDR </w:t>
      </w:r>
      <w:r w:rsidR="00CC6A04">
        <w:t>1,2</w:t>
      </w:r>
      <w:r w:rsidR="004E302B">
        <w:t>64</w:t>
      </w:r>
      <w:r w:rsidR="00CC6A04">
        <w:t>,</w:t>
      </w:r>
      <w:r w:rsidR="004E302B">
        <w:t>397</w:t>
      </w:r>
      <w:r w:rsidR="00E663A0" w:rsidRPr="00DF278B">
        <w:t>($</w:t>
      </w:r>
      <w:r w:rsidR="009F3C2B">
        <w:t>8</w:t>
      </w:r>
      <w:r w:rsidR="004E302B">
        <w:t>9</w:t>
      </w:r>
      <w:r w:rsidR="009F3C2B">
        <w:t>.</w:t>
      </w:r>
      <w:r w:rsidR="004E302B">
        <w:t>0</w:t>
      </w:r>
      <w:r w:rsidR="009F3C2B">
        <w:t>4</w:t>
      </w:r>
      <w:r w:rsidR="00E663A0" w:rsidRPr="00DF278B">
        <w:t xml:space="preserve">) </w:t>
      </w:r>
      <w:r w:rsidR="00363645">
        <w:t>using</w:t>
      </w:r>
      <w:r w:rsidR="00E663A0" w:rsidRPr="00DF278B">
        <w:t xml:space="preserve"> pre-2010 GBD weights and IDR </w:t>
      </w:r>
      <w:r w:rsidR="00CC6A04">
        <w:t>5,9</w:t>
      </w:r>
      <w:r w:rsidR="004E302B">
        <w:t>33</w:t>
      </w:r>
      <w:r w:rsidR="00CC6A04">
        <w:t>,</w:t>
      </w:r>
      <w:r w:rsidR="004E302B">
        <w:t>441</w:t>
      </w:r>
      <w:r w:rsidR="00E663A0" w:rsidRPr="00DF278B">
        <w:t xml:space="preserve"> ($</w:t>
      </w:r>
      <w:r w:rsidR="009F3C2B">
        <w:t>4</w:t>
      </w:r>
      <w:r w:rsidR="004E302B">
        <w:t>17</w:t>
      </w:r>
      <w:r w:rsidR="009F3C2B">
        <w:t>.</w:t>
      </w:r>
      <w:r w:rsidR="004E302B">
        <w:t>85</w:t>
      </w:r>
      <w:r w:rsidR="00E663A0" w:rsidRPr="00DF278B">
        <w:t xml:space="preserve">) </w:t>
      </w:r>
      <w:r w:rsidR="00363645">
        <w:t>using</w:t>
      </w:r>
      <w:r w:rsidR="00E663A0" w:rsidRPr="00DF278B">
        <w:t xml:space="preserve"> 2016 GBD weights</w:t>
      </w:r>
      <w:r w:rsidR="00363645">
        <w:t>.</w:t>
      </w:r>
    </w:p>
    <w:p w14:paraId="606393C0" w14:textId="77777777" w:rsidR="00DB3309" w:rsidRPr="00DF278B" w:rsidRDefault="00DB3309" w:rsidP="004B4F05"/>
    <w:p w14:paraId="00899D25" w14:textId="0D71C372" w:rsidR="00893FBA" w:rsidRPr="00DF278B" w:rsidRDefault="00DB3309" w:rsidP="004B4F05">
      <w:pPr>
        <w:rPr>
          <w:b/>
          <w:bCs/>
          <w:color w:val="002060"/>
          <w:sz w:val="28"/>
          <w:szCs w:val="28"/>
        </w:rPr>
      </w:pPr>
      <w:r w:rsidRPr="00DF278B">
        <w:rPr>
          <w:b/>
          <w:bCs/>
          <w:color w:val="002060"/>
          <w:sz w:val="28"/>
          <w:szCs w:val="28"/>
        </w:rPr>
        <w:t>D</w:t>
      </w:r>
      <w:r w:rsidR="00322777" w:rsidRPr="00DF278B">
        <w:rPr>
          <w:b/>
          <w:bCs/>
          <w:color w:val="002060"/>
          <w:sz w:val="28"/>
          <w:szCs w:val="28"/>
        </w:rPr>
        <w:t>iscussion</w:t>
      </w:r>
    </w:p>
    <w:p w14:paraId="4C5EC68A" w14:textId="77777777" w:rsidR="00893FBA" w:rsidRPr="00DF278B" w:rsidRDefault="00893FBA" w:rsidP="004B4F05">
      <w:pPr>
        <w:rPr>
          <w:b/>
          <w:bCs/>
          <w:sz w:val="28"/>
          <w:szCs w:val="28"/>
        </w:rPr>
      </w:pPr>
    </w:p>
    <w:p w14:paraId="36DE3D2B" w14:textId="57368EA0" w:rsidR="0027518D" w:rsidRDefault="00F92F39" w:rsidP="00893FBA">
      <w:r w:rsidRPr="00DF278B">
        <w:t xml:space="preserve">Through the OiS program, over 40,000 students were screened and over 2,000 </w:t>
      </w:r>
      <w:r w:rsidR="00D17081" w:rsidRPr="00DF278B">
        <w:t xml:space="preserve">students </w:t>
      </w:r>
      <w:r w:rsidRPr="00DF278B">
        <w:t xml:space="preserve">received glasses </w:t>
      </w:r>
      <w:r w:rsidR="00C907C4" w:rsidRPr="00DF278B">
        <w:t>at no cost</w:t>
      </w:r>
      <w:r w:rsidR="00DC13E7" w:rsidRPr="00DF278B">
        <w:t xml:space="preserve">. </w:t>
      </w:r>
      <w:r w:rsidRPr="00DF278B">
        <w:t xml:space="preserve">The initiative required a coordinated effort between government officials from the </w:t>
      </w:r>
      <w:r w:rsidR="006D0265" w:rsidRPr="00DF278B">
        <w:t>district health and education offices</w:t>
      </w:r>
      <w:r w:rsidRPr="00DF278B">
        <w:t>, community leaders, teachers, administrators, healthcare professionals, and schoolchildren’s families</w:t>
      </w:r>
      <w:r w:rsidR="00DC13E7" w:rsidRPr="00DF278B">
        <w:t xml:space="preserve">, with a total cost of </w:t>
      </w:r>
      <w:r w:rsidR="00D17081" w:rsidRPr="00DF278B">
        <w:t xml:space="preserve">IDR </w:t>
      </w:r>
      <w:r w:rsidR="00DC13E7" w:rsidRPr="00DF278B">
        <w:t>1,389,187,609 ($97,380). Approximately 11</w:t>
      </w:r>
      <w:r w:rsidR="00D5597C" w:rsidRPr="00DF278B">
        <w:t xml:space="preserve">% </w:t>
      </w:r>
      <w:r w:rsidR="00DC13E7" w:rsidRPr="00DF278B">
        <w:t>of all students screened</w:t>
      </w:r>
      <w:r w:rsidR="00D5597C" w:rsidRPr="00DF278B">
        <w:t xml:space="preserve"> </w:t>
      </w:r>
      <w:r w:rsidR="00DC13E7" w:rsidRPr="00DF278B">
        <w:t>failed their screenings</w:t>
      </w:r>
      <w:r w:rsidR="00D5597C" w:rsidRPr="00DF278B">
        <w:t xml:space="preserve">, with nearly 59% of those who failed screenings ultimately undergoing refraction. The other 41% were lost to follow-up, </w:t>
      </w:r>
      <w:r w:rsidR="00D5597C" w:rsidRPr="007F7A9F">
        <w:rPr>
          <w:strike/>
        </w:rPr>
        <w:t>likely</w:t>
      </w:r>
      <w:r w:rsidR="00D5597C" w:rsidRPr="00DF278B">
        <w:t xml:space="preserve"> </w:t>
      </w:r>
      <w:r w:rsidR="00C907C4" w:rsidRPr="00DF278B">
        <w:t>due</w:t>
      </w:r>
      <w:r w:rsidR="00D5597C" w:rsidRPr="00DF278B">
        <w:t xml:space="preserve"> to multiple</w:t>
      </w:r>
      <w:r w:rsidR="0027518D" w:rsidRPr="00DF278B">
        <w:t xml:space="preserve"> factors</w:t>
      </w:r>
      <w:r w:rsidR="00D17081" w:rsidRPr="00DF278B">
        <w:t xml:space="preserve">. </w:t>
      </w:r>
      <w:r w:rsidR="0051395B">
        <w:t xml:space="preserve">According to data from across </w:t>
      </w:r>
      <w:r w:rsidR="0051395B">
        <w:rPr>
          <w:i/>
          <w:iCs/>
        </w:rPr>
        <w:t xml:space="preserve">Helen Keller’s </w:t>
      </w:r>
      <w:r w:rsidR="0051395B">
        <w:t>OiS program</w:t>
      </w:r>
      <w:r w:rsidR="00EA77B6">
        <w:rPr>
          <w:rStyle w:val="FootnoteReference"/>
        </w:rPr>
        <w:footnoteReference w:id="7"/>
      </w:r>
      <w:r w:rsidR="0051395B">
        <w:t>, t</w:t>
      </w:r>
      <w:r w:rsidR="00CC6A04">
        <w:t>he most common reason – accounting for 58.</w:t>
      </w:r>
      <w:r w:rsidR="004E302B">
        <w:t>3</w:t>
      </w:r>
      <w:r w:rsidR="00CC6A04">
        <w:t>% of lost follow-ups – was that students graduated between the time of initial screening and the time that refractive services were provided. Another 33.2% of lost follow-ups were due to students being absent the day that services were provided. Some students</w:t>
      </w:r>
      <w:r w:rsidR="0051395B">
        <w:t xml:space="preserve"> (6.4%)</w:t>
      </w:r>
      <w:r w:rsidR="00CC6A04">
        <w:t xml:space="preserve"> also moved to other schools </w:t>
      </w:r>
      <w:r w:rsidR="0051395B">
        <w:t xml:space="preserve">before refractive services could be provided, </w:t>
      </w:r>
      <w:r w:rsidR="00CC6A04">
        <w:t>and finally, 2.</w:t>
      </w:r>
      <w:r w:rsidR="00317F0D">
        <w:t>1</w:t>
      </w:r>
      <w:r w:rsidR="00CC6A04">
        <w:t>% of lost follow-ups were due to students refusing refraction services.</w:t>
      </w:r>
    </w:p>
    <w:p w14:paraId="630A640B" w14:textId="1EEBC492" w:rsidR="00635CCA" w:rsidRPr="00DF278B" w:rsidRDefault="00635CCA" w:rsidP="00893FBA"/>
    <w:p w14:paraId="7995BB5B" w14:textId="77777777" w:rsidR="0027518D" w:rsidRPr="00DF278B" w:rsidRDefault="0027518D" w:rsidP="00893FBA"/>
    <w:p w14:paraId="4BC0464B" w14:textId="08CF2587" w:rsidR="00633623" w:rsidRPr="00DF278B" w:rsidRDefault="0027518D" w:rsidP="00893FBA">
      <w:r w:rsidRPr="00DF278B">
        <w:t xml:space="preserve">Rates of loss to follow-up were </w:t>
      </w:r>
      <w:r w:rsidR="00C907C4" w:rsidRPr="00DF278B">
        <w:t>comparatively</w:t>
      </w:r>
      <w:r w:rsidRPr="00DF278B">
        <w:t xml:space="preserve"> high in Bone (68.7%) and Bulukumba (50.4%). In these districts, refraction services and glasses delivery were performed in a central location due to both logistical and transportation constraints</w:t>
      </w:r>
      <w:r w:rsidR="00633623" w:rsidRPr="00DF278B">
        <w:t>, limited familial availability,</w:t>
      </w:r>
      <w:r w:rsidRPr="00DF278B">
        <w:t xml:space="preserve"> and students’ impending graduation</w:t>
      </w:r>
      <w:r w:rsidR="00D17081" w:rsidRPr="00DF278B">
        <w:t xml:space="preserve"> in these particular districts</w:t>
      </w:r>
      <w:r w:rsidRPr="00DF278B">
        <w:t>, necessitating expedited screening. It therefore was not surprising to us that the cost</w:t>
      </w:r>
      <w:r w:rsidR="00D17081" w:rsidRPr="00DF278B">
        <w:t xml:space="preserve"> per </w:t>
      </w:r>
      <w:r w:rsidRPr="00DF278B">
        <w:t>student refracted and cost</w:t>
      </w:r>
      <w:r w:rsidR="00D17081" w:rsidRPr="00DF278B">
        <w:t xml:space="preserve"> per </w:t>
      </w:r>
      <w:r w:rsidRPr="00DF278B">
        <w:t xml:space="preserve">student receiving glasses were markedly higher in these </w:t>
      </w:r>
      <w:r w:rsidR="00193CC3" w:rsidRPr="00DF278B">
        <w:t>districts</w:t>
      </w:r>
      <w:r w:rsidRPr="00DF278B">
        <w:t xml:space="preserve">, as compared to the school-based refraction districts. </w:t>
      </w:r>
      <w:r w:rsidR="00633623" w:rsidRPr="00DF278B">
        <w:lastRenderedPageBreak/>
        <w:t xml:space="preserve">Future iterations of this project may therefore </w:t>
      </w:r>
      <w:r w:rsidR="00C907C4" w:rsidRPr="00DF278B">
        <w:t xml:space="preserve">seek to mitigate loss to follow-up while minimizing programmatic </w:t>
      </w:r>
      <w:r w:rsidR="000C2A03" w:rsidRPr="00DF278B">
        <w:t>costs by adopting a local model of service delivery.</w:t>
      </w:r>
    </w:p>
    <w:p w14:paraId="313DC7DE" w14:textId="77777777" w:rsidR="00633623" w:rsidRPr="00DF278B" w:rsidRDefault="00633623" w:rsidP="00893FBA"/>
    <w:p w14:paraId="0EA2C5A3" w14:textId="5A244D98" w:rsidR="0027518D" w:rsidRPr="00DF278B" w:rsidRDefault="00633623" w:rsidP="00633623">
      <w:r w:rsidRPr="00DF278B">
        <w:t>Within</w:t>
      </w:r>
      <w:r w:rsidR="0027518D" w:rsidRPr="00DF278B">
        <w:t xml:space="preserve"> </w:t>
      </w:r>
      <w:r w:rsidR="0027518D" w:rsidRPr="00DF278B">
        <w:rPr>
          <w:i/>
          <w:iCs/>
        </w:rPr>
        <w:t xml:space="preserve">Program </w:t>
      </w:r>
      <w:r w:rsidR="0076468B" w:rsidRPr="00DF278B">
        <w:rPr>
          <w:i/>
          <w:iCs/>
        </w:rPr>
        <w:t>components</w:t>
      </w:r>
      <w:r w:rsidR="0027518D" w:rsidRPr="00DF278B">
        <w:t xml:space="preserve">, the largest cost was related to </w:t>
      </w:r>
      <w:r w:rsidR="0027518D" w:rsidRPr="00DF278B">
        <w:rPr>
          <w:b/>
          <w:bCs/>
        </w:rPr>
        <w:t>Service Delivery</w:t>
      </w:r>
      <w:r w:rsidR="0027518D" w:rsidRPr="00DF278B">
        <w:t xml:space="preserve">, </w:t>
      </w:r>
      <w:r w:rsidRPr="00DF278B">
        <w:t>which was</w:t>
      </w:r>
      <w:r w:rsidR="0027518D" w:rsidRPr="00DF278B">
        <w:t xml:space="preserve"> expected given the limited availability and high demand for ophthalmic equipment and refraction specialists. </w:t>
      </w:r>
      <w:r w:rsidRPr="00DF278B">
        <w:t>Together, sensitization and training represented 42.5% of total program expenditures</w:t>
      </w:r>
      <w:r w:rsidR="00C907C4" w:rsidRPr="00DF278B">
        <w:t>, which was not surprising since</w:t>
      </w:r>
      <w:r w:rsidRPr="00DF278B">
        <w:t xml:space="preserve"> </w:t>
      </w:r>
      <w:r w:rsidR="00D17081" w:rsidRPr="00DF278B">
        <w:t xml:space="preserve">all </w:t>
      </w:r>
      <w:r w:rsidR="00C907C4" w:rsidRPr="00DF278B">
        <w:t xml:space="preserve">actors </w:t>
      </w:r>
      <w:r w:rsidR="00D17081" w:rsidRPr="00DF278B">
        <w:t xml:space="preserve">were completely new to the program, and many had extremely limited knowledge of eye disease. </w:t>
      </w:r>
      <w:r w:rsidR="00996DCD" w:rsidRPr="00DF278B">
        <w:t>S</w:t>
      </w:r>
      <w:r w:rsidR="00D17081" w:rsidRPr="00DF278B">
        <w:t xml:space="preserve">pending </w:t>
      </w:r>
      <w:r w:rsidR="00996DCD" w:rsidRPr="00DF278B">
        <w:t>considerable</w:t>
      </w:r>
      <w:r w:rsidRPr="00DF278B">
        <w:t xml:space="preserve"> time</w:t>
      </w:r>
      <w:r w:rsidR="00D17081" w:rsidRPr="00DF278B">
        <w:t xml:space="preserve"> </w:t>
      </w:r>
      <w:r w:rsidRPr="00DF278B">
        <w:t>training and sensitizing community partners</w:t>
      </w:r>
      <w:r w:rsidR="00D17081" w:rsidRPr="00DF278B">
        <w:t xml:space="preserve"> was paramount to efficient functioning in the pilot year</w:t>
      </w:r>
      <w:r w:rsidRPr="00DF278B">
        <w:t xml:space="preserve">. However, we suspect that future iterations of this program may result in reduced expenditures on </w:t>
      </w:r>
      <w:r w:rsidR="00D55CF6" w:rsidRPr="00DF278B">
        <w:rPr>
          <w:i/>
          <w:iCs/>
        </w:rPr>
        <w:t>Sensitization and Training</w:t>
      </w:r>
      <w:r w:rsidR="006C1222" w:rsidRPr="00DF278B">
        <w:rPr>
          <w:i/>
          <w:iCs/>
        </w:rPr>
        <w:t xml:space="preserve"> Initiatives</w:t>
      </w:r>
      <w:r w:rsidRPr="00DF278B">
        <w:t xml:space="preserve">, given that many community partners, teachers, and administrative personnel </w:t>
      </w:r>
      <w:r w:rsidR="00996DCD" w:rsidRPr="00DF278B">
        <w:t>have already been trained and may only require brief refresher trainings.</w:t>
      </w:r>
    </w:p>
    <w:p w14:paraId="6ADFC0C7" w14:textId="3E648724" w:rsidR="00F92F39" w:rsidRPr="00DF278B" w:rsidRDefault="00F92F39" w:rsidP="00893FBA"/>
    <w:p w14:paraId="749B1DC6" w14:textId="0379BD36" w:rsidR="00893FBA" w:rsidRPr="00DF278B" w:rsidRDefault="00633623" w:rsidP="00D66871">
      <w:r w:rsidRPr="00DF278B">
        <w:t xml:space="preserve">With respect to </w:t>
      </w:r>
      <w:r w:rsidR="00996DCD" w:rsidRPr="00DF278B">
        <w:rPr>
          <w:i/>
        </w:rPr>
        <w:t>Expenditure</w:t>
      </w:r>
      <w:r w:rsidRPr="00DF278B">
        <w:t xml:space="preserve"> categories, </w:t>
      </w:r>
      <w:r w:rsidR="00D17081" w:rsidRPr="00DF278B">
        <w:t>E</w:t>
      </w:r>
      <w:r w:rsidRPr="00DF278B">
        <w:t xml:space="preserve">yeglasses represented the </w:t>
      </w:r>
      <w:r w:rsidR="00D17081" w:rsidRPr="00DF278B">
        <w:t xml:space="preserve">highest contributor to costs (39.8%). Notably, this cost for eyeglasses was quoted by IROPIN and reflected the price at which eyeglasses could be provided </w:t>
      </w:r>
      <w:r w:rsidR="006C1222" w:rsidRPr="00DF278B">
        <w:t xml:space="preserve">by the organization </w:t>
      </w:r>
      <w:r w:rsidR="00D17081" w:rsidRPr="00DF278B">
        <w:t>while</w:t>
      </w:r>
      <w:r w:rsidR="006C1222" w:rsidRPr="00DF278B">
        <w:t xml:space="preserve"> still</w:t>
      </w:r>
      <w:r w:rsidR="00D17081" w:rsidRPr="00DF278B">
        <w:t xml:space="preserve"> remaining profitable. Albeit higher, this pricing strategy facilitates a more sustainable approach that assists with determining the potential longevity of such a program. </w:t>
      </w:r>
      <w:r w:rsidR="00D17081" w:rsidRPr="00DF278B">
        <w:rPr>
          <w:i/>
        </w:rPr>
        <w:t>Meeting Packages</w:t>
      </w:r>
      <w:r w:rsidR="00D17081" w:rsidRPr="00DF278B">
        <w:t xml:space="preserve"> was the next largest contributor (27.4%) and reflected all orientation, sensitization, training, and organizational meetings </w:t>
      </w:r>
      <w:r w:rsidR="006C1222" w:rsidRPr="00DF278B">
        <w:t xml:space="preserve">(many of which in-person) </w:t>
      </w:r>
      <w:r w:rsidR="00D17081" w:rsidRPr="00DF278B">
        <w:t xml:space="preserve">that took place in order to conduct </w:t>
      </w:r>
      <w:r w:rsidR="006C1222" w:rsidRPr="00DF278B">
        <w:t>the</w:t>
      </w:r>
      <w:r w:rsidR="00D17081" w:rsidRPr="00DF278B">
        <w:t xml:space="preserve"> </w:t>
      </w:r>
      <w:r w:rsidR="006C1222" w:rsidRPr="00DF278B">
        <w:t>initiative</w:t>
      </w:r>
      <w:r w:rsidR="00D17081" w:rsidRPr="00DF278B">
        <w:t xml:space="preserve">. It is reasonable to expect that districts which were previously a part of OiS may require </w:t>
      </w:r>
      <w:r w:rsidR="00996DCD" w:rsidRPr="00DF278B">
        <w:t>fewer</w:t>
      </w:r>
      <w:r w:rsidR="00D17081" w:rsidRPr="00DF278B">
        <w:t xml:space="preserve"> meetings </w:t>
      </w:r>
      <w:r w:rsidR="006C1222" w:rsidRPr="00DF278B">
        <w:t xml:space="preserve">in the future. </w:t>
      </w:r>
    </w:p>
    <w:p w14:paraId="705C7E35" w14:textId="27629CEF" w:rsidR="00E663A0" w:rsidRPr="00DF278B" w:rsidRDefault="00E663A0" w:rsidP="00D66871"/>
    <w:p w14:paraId="0D2B4309" w14:textId="47DFA191" w:rsidR="00E663A0" w:rsidRPr="00DF278B" w:rsidRDefault="00E663A0" w:rsidP="00D66871">
      <w:r w:rsidRPr="00DF278B">
        <w:t>Assuming a</w:t>
      </w:r>
      <w:r w:rsidR="00382544" w:rsidRPr="00DF278B">
        <w:t xml:space="preserve"> </w:t>
      </w:r>
      <w:r w:rsidR="00317F0D">
        <w:t>18.4</w:t>
      </w:r>
      <w:r w:rsidR="00382544" w:rsidRPr="00DF278B">
        <w:t>%</w:t>
      </w:r>
      <w:r w:rsidRPr="00DF278B">
        <w:t xml:space="preserve"> </w:t>
      </w:r>
      <w:r w:rsidR="00382544" w:rsidRPr="00DF278B">
        <w:t xml:space="preserve">prevalence of </w:t>
      </w:r>
      <w:r w:rsidRPr="00DF278B">
        <w:t xml:space="preserve">refractive error </w:t>
      </w:r>
      <w:r w:rsidR="00382544" w:rsidRPr="00DF278B">
        <w:t>and a 2-year useful life cycle for a pair of glasses, the OiS initiative was estimated to cost $</w:t>
      </w:r>
      <w:r w:rsidR="00317F0D">
        <w:t>89.04</w:t>
      </w:r>
      <w:r w:rsidR="00382544" w:rsidRPr="00DF278B">
        <w:t xml:space="preserve"> per DALY averted under pre-2010 GBD weights</w:t>
      </w:r>
      <w:r w:rsidR="00382544" w:rsidRPr="00C171E5">
        <w:t xml:space="preserve">. This is consistent with a wide range of ophthalmic surgical interventions reported </w:t>
      </w:r>
      <w:r w:rsidR="00363645" w:rsidRPr="00C171E5">
        <w:t>in a systematic review which suggested</w:t>
      </w:r>
      <w:r w:rsidR="00382544" w:rsidRPr="00C171E5">
        <w:t xml:space="preserve"> an average cost of $136 per DALY averted</w:t>
      </w:r>
      <w:r w:rsidR="00363645" w:rsidRPr="00C171E5">
        <w:t xml:space="preserve"> </w:t>
      </w:r>
      <w:r w:rsidR="00AE22D2" w:rsidRPr="00C171E5">
        <w:t xml:space="preserve">under pre-2010 GBD weights </w:t>
      </w:r>
      <w:r w:rsidR="00382544" w:rsidRPr="00C171E5">
        <w:t>for ophthalmic surgery.</w:t>
      </w:r>
      <w:r w:rsidR="00363645" w:rsidRPr="00C171E5">
        <w:rPr>
          <w:rStyle w:val="FootnoteReference"/>
        </w:rPr>
        <w:footnoteReference w:id="8"/>
      </w:r>
      <w:r w:rsidR="00382544" w:rsidRPr="00C171E5">
        <w:t xml:space="preserve"> </w:t>
      </w:r>
      <w:r w:rsidR="00AE22D2" w:rsidRPr="00DF278B">
        <w:t xml:space="preserve">The cost per DALY averted was notably higher for 2016 GBD weights, reflecting the profound </w:t>
      </w:r>
      <w:r w:rsidR="00B727E5">
        <w:t xml:space="preserve">and controversial </w:t>
      </w:r>
      <w:r w:rsidR="00AE22D2" w:rsidRPr="00DF278B">
        <w:t xml:space="preserve">decrease in disability weight attributable to </w:t>
      </w:r>
      <w:r w:rsidR="00B727E5">
        <w:t>visual impairment that reflects the non-fatal nature of most eye disease.</w:t>
      </w:r>
      <w:r w:rsidR="00B727E5">
        <w:rPr>
          <w:rStyle w:val="FootnoteReference"/>
        </w:rPr>
        <w:footnoteReference w:id="9"/>
      </w:r>
    </w:p>
    <w:p w14:paraId="02C35CE5" w14:textId="3EA34B50" w:rsidR="00893FBA" w:rsidRPr="00DF278B" w:rsidRDefault="00893FBA" w:rsidP="00D66871"/>
    <w:p w14:paraId="198D0AE4" w14:textId="2EF7ABF5" w:rsidR="00AE22D2" w:rsidRPr="00363645" w:rsidRDefault="00AE22D2" w:rsidP="00D66871">
      <w:pPr>
        <w:rPr>
          <w:b/>
          <w:bCs/>
          <w:color w:val="002060"/>
          <w:sz w:val="28"/>
          <w:szCs w:val="28"/>
        </w:rPr>
      </w:pPr>
      <w:r w:rsidRPr="00DF278B">
        <w:rPr>
          <w:b/>
          <w:bCs/>
          <w:color w:val="002060"/>
          <w:sz w:val="28"/>
          <w:szCs w:val="28"/>
        </w:rPr>
        <w:t>Limitations</w:t>
      </w:r>
    </w:p>
    <w:p w14:paraId="16B07C52" w14:textId="77777777" w:rsidR="00AE22D2" w:rsidRPr="00DF278B" w:rsidRDefault="00AE22D2" w:rsidP="00D66871"/>
    <w:p w14:paraId="23884292" w14:textId="01E5A350" w:rsidR="00AE22D2" w:rsidRPr="00DF278B" w:rsidRDefault="00D66871" w:rsidP="00D66871">
      <w:r w:rsidRPr="00DF278B">
        <w:t xml:space="preserve">There were limitations </w:t>
      </w:r>
      <w:r w:rsidR="00F03D49">
        <w:t>to this s</w:t>
      </w:r>
      <w:r w:rsidR="00785071" w:rsidRPr="00DF278B">
        <w:t xml:space="preserve">tudy. </w:t>
      </w:r>
      <w:r w:rsidR="004F2F0D" w:rsidRPr="00DF278B">
        <w:t>D</w:t>
      </w:r>
      <w:r w:rsidR="00785071" w:rsidRPr="00DF278B">
        <w:t>ata</w:t>
      </w:r>
      <w:r w:rsidR="00FF30FF" w:rsidRPr="00DF278B">
        <w:t xml:space="preserve"> from screenings and refraction</w:t>
      </w:r>
      <w:r w:rsidR="00785071" w:rsidRPr="00DF278B">
        <w:t xml:space="preserve"> </w:t>
      </w:r>
      <w:r w:rsidR="00FF30FF" w:rsidRPr="00DF278B">
        <w:t>were</w:t>
      </w:r>
      <w:r w:rsidR="00785071" w:rsidRPr="00DF278B">
        <w:t xml:space="preserve"> primarily collected independently at schools and submitted to a central office for transcription</w:t>
      </w:r>
      <w:r w:rsidR="004F2F0D" w:rsidRPr="00DF278B">
        <w:t>, making the data set</w:t>
      </w:r>
      <w:r w:rsidR="00FF30FF" w:rsidRPr="00DF278B">
        <w:t>s</w:t>
      </w:r>
      <w:r w:rsidR="004F2F0D" w:rsidRPr="00DF278B">
        <w:t xml:space="preserve"> susceptible to transcription errors or inaccuracies. To offset this, data underwent extensive centralized auditing by </w:t>
      </w:r>
      <w:r w:rsidR="00F03D49">
        <w:t>HKI</w:t>
      </w:r>
      <w:r w:rsidR="00C7414C" w:rsidRPr="00DF278B">
        <w:t xml:space="preserve"> </w:t>
      </w:r>
      <w:r w:rsidR="004F2F0D" w:rsidRPr="00DF278B">
        <w:t>employees in an effort to maintain data integrity. For</w:t>
      </w:r>
      <w:r w:rsidR="00785071" w:rsidRPr="00DF278B">
        <w:t xml:space="preserve"> </w:t>
      </w:r>
      <w:r w:rsidR="004F2F0D" w:rsidRPr="00DF278B">
        <w:t>instances</w:t>
      </w:r>
      <w:r w:rsidR="00785071" w:rsidRPr="00DF278B">
        <w:t xml:space="preserve"> in which </w:t>
      </w:r>
      <w:r w:rsidR="004F2F0D" w:rsidRPr="00DF278B">
        <w:t>there were significant inaccuracies or omissions from a given dataset, data from the entire school were excluded</w:t>
      </w:r>
      <w:r w:rsidR="00FF30FF" w:rsidRPr="00DF278B">
        <w:t>, which may have affected outcome metrics</w:t>
      </w:r>
      <w:r w:rsidR="004F2F0D" w:rsidRPr="00DF278B">
        <w:t xml:space="preserve">. </w:t>
      </w:r>
      <w:r w:rsidR="000C2A03" w:rsidRPr="00DF278B">
        <w:t xml:space="preserve">There was considerable loss to follow-up in all districts. In some cases, </w:t>
      </w:r>
      <w:r w:rsidR="00785071" w:rsidRPr="00DF278B">
        <w:t xml:space="preserve">students graduated and were unable to receive refraction services, </w:t>
      </w:r>
      <w:r w:rsidR="000C2A03" w:rsidRPr="00DF278B">
        <w:t xml:space="preserve">which increased the </w:t>
      </w:r>
      <w:r w:rsidR="00FF30FF" w:rsidRPr="00DF278B">
        <w:t>rate of loss to follow-up and major outcome metrics, such as cost per student receiving glasses.</w:t>
      </w:r>
      <w:r w:rsidR="004F2F0D" w:rsidRPr="00DF278B">
        <w:t xml:space="preserve"> </w:t>
      </w:r>
      <w:r w:rsidR="000C2A03" w:rsidRPr="00DF278B">
        <w:t xml:space="preserve">However, additional efforts might be directed </w:t>
      </w:r>
      <w:r w:rsidR="000C2A03" w:rsidRPr="00DF278B">
        <w:lastRenderedPageBreak/>
        <w:t>in future iterations of this program toward increasing follow-up rates</w:t>
      </w:r>
      <w:r w:rsidR="00AE22D2" w:rsidRPr="00DF278B">
        <w:t>, likely driving down the cost per student receiving glasses</w:t>
      </w:r>
      <w:r w:rsidR="000C2A03" w:rsidRPr="00DF278B">
        <w:t xml:space="preserve">. </w:t>
      </w:r>
    </w:p>
    <w:p w14:paraId="55E8296B" w14:textId="77777777" w:rsidR="00AE22D2" w:rsidRPr="00DF278B" w:rsidRDefault="00AE22D2" w:rsidP="00D66871"/>
    <w:p w14:paraId="5AC0F291" w14:textId="76EC4575" w:rsidR="00D66871" w:rsidRPr="00DF278B" w:rsidRDefault="00FF30FF" w:rsidP="00D66871">
      <w:r w:rsidRPr="00DF278B">
        <w:t xml:space="preserve">While many costs were calculated by reviewing itemized receipts from </w:t>
      </w:r>
      <w:r w:rsidR="00F03D49">
        <w:t>HKI</w:t>
      </w:r>
      <w:r w:rsidRPr="00DF278B">
        <w:t>, there were other costs that required estimating the time, resources, or fees associated with performing a given activity. For example, labor costs were estimated based on the pay for a standard workday as per government standardized salary scales, which may have varied based on the individual, school, district</w:t>
      </w:r>
      <w:r w:rsidR="006C1222" w:rsidRPr="00DF278B">
        <w:t>, or length of workday</w:t>
      </w:r>
      <w:r w:rsidRPr="00DF278B">
        <w:t xml:space="preserve">. </w:t>
      </w:r>
      <w:r w:rsidR="00AA2AB2" w:rsidRPr="00DF278B">
        <w:t xml:space="preserve">As such, </w:t>
      </w:r>
      <w:r w:rsidR="00996DCD" w:rsidRPr="00DF278B">
        <w:t>some</w:t>
      </w:r>
      <w:r w:rsidR="00AA2AB2" w:rsidRPr="00DF278B">
        <w:t xml:space="preserve"> cost</w:t>
      </w:r>
      <w:r w:rsidR="00DB3309" w:rsidRPr="00DF278B">
        <w:t>s</w:t>
      </w:r>
      <w:r w:rsidR="00AA2AB2" w:rsidRPr="00DF278B">
        <w:t xml:space="preserve"> represent estimates for conducting such a program, with key assumptions outlined in the methods</w:t>
      </w:r>
      <w:r w:rsidR="006C1222" w:rsidRPr="00DF278B">
        <w:t xml:space="preserve"> after discussion with program leadership</w:t>
      </w:r>
      <w:r w:rsidR="00AA2AB2" w:rsidRPr="00DF278B">
        <w:t xml:space="preserve">. </w:t>
      </w:r>
      <w:r w:rsidR="00AE22D2" w:rsidRPr="00DF278B">
        <w:t>F</w:t>
      </w:r>
      <w:r w:rsidR="00AA2AB2" w:rsidRPr="00DF278B">
        <w:t>ixed program costs applying to the entire OiS initiative were evenly distributed by district based on number of students screened; this may have disproportionately allocated fixed costs to more efficient, higher throughput districts, but otherwise would not affect the bottom-line cost estimate for conducting the program</w:t>
      </w:r>
      <w:r w:rsidR="006C1222" w:rsidRPr="00DF278B">
        <w:t xml:space="preserve"> in its entirety. </w:t>
      </w:r>
    </w:p>
    <w:p w14:paraId="2DC82DEA" w14:textId="7396262C" w:rsidR="00AE22D2" w:rsidRPr="00DF278B" w:rsidRDefault="00AE22D2" w:rsidP="00D66871"/>
    <w:p w14:paraId="624360B7" w14:textId="1495D52C" w:rsidR="00AE22D2" w:rsidRPr="00DF278B" w:rsidRDefault="00AE22D2" w:rsidP="00D66871">
      <w:r w:rsidRPr="00DF278B">
        <w:t>Finally, multiple assumptions were made in calculating the cost per DALY averted for the OiS activity. These assumptions, stated clearly in our methodology, are a necessary component for the calculation of such cost-effectiveness metrics</w:t>
      </w:r>
      <w:r w:rsidRPr="00C171E5">
        <w:t xml:space="preserve">. In particular, the prevalence of refractive error in South Sulawesi was </w:t>
      </w:r>
      <w:r w:rsidR="00F26761" w:rsidRPr="00C171E5">
        <w:t xml:space="preserve">found to be </w:t>
      </w:r>
      <w:r w:rsidRPr="00C171E5">
        <w:t>18.</w:t>
      </w:r>
      <w:r w:rsidR="00317F0D" w:rsidRPr="00C171E5">
        <w:t>4</w:t>
      </w:r>
      <w:r w:rsidRPr="00C171E5">
        <w:t xml:space="preserve">%, </w:t>
      </w:r>
      <w:r w:rsidR="00F26761" w:rsidRPr="00C171E5">
        <w:t>though</w:t>
      </w:r>
      <w:r w:rsidR="001848A2" w:rsidRPr="00C171E5">
        <w:t xml:space="preserve"> variations in prevalence would likely affect the cost-effectiveness of such an endeavor.</w:t>
      </w:r>
    </w:p>
    <w:p w14:paraId="6240286B" w14:textId="525B8E00" w:rsidR="00322777" w:rsidRPr="00DF278B" w:rsidRDefault="00322777" w:rsidP="00D66871"/>
    <w:p w14:paraId="1D637CE1" w14:textId="6661AEC5" w:rsidR="00322777" w:rsidRPr="00DF278B" w:rsidRDefault="00322777" w:rsidP="00D66871">
      <w:pPr>
        <w:rPr>
          <w:b/>
          <w:bCs/>
          <w:color w:val="002060"/>
          <w:sz w:val="28"/>
          <w:szCs w:val="28"/>
        </w:rPr>
      </w:pPr>
      <w:r w:rsidRPr="00DF278B">
        <w:rPr>
          <w:b/>
          <w:bCs/>
          <w:color w:val="002060"/>
          <w:sz w:val="28"/>
          <w:szCs w:val="28"/>
        </w:rPr>
        <w:t>Conclusion</w:t>
      </w:r>
      <w:r w:rsidR="00DB3309" w:rsidRPr="00DF278B">
        <w:rPr>
          <w:b/>
          <w:bCs/>
          <w:color w:val="002060"/>
          <w:sz w:val="28"/>
          <w:szCs w:val="28"/>
        </w:rPr>
        <w:t>s</w:t>
      </w:r>
    </w:p>
    <w:p w14:paraId="624E2CF8" w14:textId="531FB1DB" w:rsidR="001848A2" w:rsidRPr="00DF278B" w:rsidRDefault="001848A2" w:rsidP="00322777">
      <w:r w:rsidRPr="00DF278B">
        <w:t>T</w:t>
      </w:r>
      <w:r w:rsidR="00AA2AB2" w:rsidRPr="00DF278B">
        <w:t>his study outlined a cost-effectiveness analysis of a novel program, Opticians-in-Schools, implemented in six districts</w:t>
      </w:r>
      <w:r w:rsidR="004F2A15">
        <w:t xml:space="preserve"> in South Sulawesi, Indonesia</w:t>
      </w:r>
      <w:r w:rsidR="00AA2AB2" w:rsidRPr="00DF278B">
        <w:t xml:space="preserve"> aimed at identifying and treating correctable refractive error in schoolchildren.</w:t>
      </w:r>
      <w:r w:rsidR="00E22DCA">
        <w:t xml:space="preserve"> Through this program, over 2,000 students received glasses free of charge, with a </w:t>
      </w:r>
      <w:r w:rsidR="00E22DCA" w:rsidRPr="00DF278B">
        <w:t xml:space="preserve">cost </w:t>
      </w:r>
      <w:r w:rsidR="00E22DCA">
        <w:t xml:space="preserve">of </w:t>
      </w:r>
      <w:r w:rsidR="00E22DCA" w:rsidRPr="00DF278B">
        <w:t>$</w:t>
      </w:r>
      <w:r w:rsidR="00317F0D">
        <w:t>89.04</w:t>
      </w:r>
      <w:r w:rsidR="00BA51E7">
        <w:t xml:space="preserve"> </w:t>
      </w:r>
      <w:r w:rsidR="00E22DCA">
        <w:t>per DALY averted</w:t>
      </w:r>
      <w:r w:rsidR="00E22DCA" w:rsidRPr="00DF278B">
        <w:t xml:space="preserve"> </w:t>
      </w:r>
      <w:r w:rsidR="00F03D49">
        <w:t>(</w:t>
      </w:r>
      <w:r w:rsidR="00E22DCA" w:rsidRPr="00DF278B">
        <w:t>under pre-2010 GBD weights.</w:t>
      </w:r>
      <w:r w:rsidR="00E22DCA">
        <w:t xml:space="preserve"> </w:t>
      </w:r>
      <w:r w:rsidR="00322777" w:rsidRPr="00DF278B">
        <w:t>Given that a</w:t>
      </w:r>
      <w:r w:rsidR="00AA2AB2" w:rsidRPr="00DF278B">
        <w:t xml:space="preserve"> significant portion of costs were related to designing the structure</w:t>
      </w:r>
      <w:r w:rsidR="00322777" w:rsidRPr="00DF278B">
        <w:t xml:space="preserve">, </w:t>
      </w:r>
      <w:r w:rsidR="00AA2AB2" w:rsidRPr="00DF278B">
        <w:t xml:space="preserve">introducing the program to community leaders, and </w:t>
      </w:r>
      <w:r w:rsidR="00322777" w:rsidRPr="00DF278B">
        <w:t xml:space="preserve">training personnel, future iterations could likely </w:t>
      </w:r>
      <w:r w:rsidR="006C1222" w:rsidRPr="00DF278B">
        <w:t>further reduce</w:t>
      </w:r>
      <w:r w:rsidR="00322777" w:rsidRPr="00DF278B">
        <w:t xml:space="preserve"> key </w:t>
      </w:r>
      <w:r w:rsidR="006C1222" w:rsidRPr="00DF278B">
        <w:t xml:space="preserve">cost </w:t>
      </w:r>
      <w:r w:rsidR="00322777" w:rsidRPr="00DF278B">
        <w:t>metrics. Such programs</w:t>
      </w:r>
      <w:r w:rsidR="006C1222" w:rsidRPr="00DF278B">
        <w:t>, when deployed efficiently,</w:t>
      </w:r>
      <w:r w:rsidR="00322777" w:rsidRPr="00DF278B">
        <w:t xml:space="preserve"> have </w:t>
      </w:r>
      <w:r w:rsidR="00996DCD" w:rsidRPr="00DF278B">
        <w:t xml:space="preserve">the </w:t>
      </w:r>
      <w:r w:rsidR="00322777" w:rsidRPr="00DF278B">
        <w:t xml:space="preserve">potential </w:t>
      </w:r>
      <w:r w:rsidR="00996DCD" w:rsidRPr="00DF278B">
        <w:t>to</w:t>
      </w:r>
      <w:r w:rsidR="00322777" w:rsidRPr="00DF278B">
        <w:t xml:space="preserve"> improving quality of life in schoolchildren with refractive error in settings with lim</w:t>
      </w:r>
      <w:r w:rsidR="00F03D49">
        <w:t>ited access to care though a cost-effective and safe intervention.</w:t>
      </w:r>
    </w:p>
    <w:p w14:paraId="2703A059" w14:textId="4BD90022" w:rsidR="00C0232A" w:rsidRPr="00BD5051" w:rsidRDefault="001848A2" w:rsidP="00BD5051">
      <w:r w:rsidRPr="00DF278B">
        <w:br w:type="page"/>
      </w:r>
      <w:r w:rsidR="00DB3309" w:rsidRPr="00DF278B">
        <w:rPr>
          <w:b/>
          <w:bCs/>
        </w:rPr>
        <w:lastRenderedPageBreak/>
        <w:t>Table 1:</w:t>
      </w:r>
      <w:r w:rsidR="00DB3309" w:rsidRPr="00DF278B">
        <w:t xml:space="preserve"> Screening and Refraction Outcomes by District</w:t>
      </w:r>
    </w:p>
    <w:p w14:paraId="055F7E34" w14:textId="4B73F073" w:rsidR="00DB3309" w:rsidRPr="00DF278B" w:rsidRDefault="00DB3309" w:rsidP="00DB3309">
      <w:pPr>
        <w:rPr>
          <w:i/>
          <w:iCs/>
        </w:rPr>
      </w:pPr>
      <w:r w:rsidRPr="00DF278B">
        <w:rPr>
          <w:i/>
          <w:iCs/>
          <w:sz w:val="20"/>
          <w:szCs w:val="20"/>
        </w:rPr>
        <w:t>Note: Loss to follow-up rate represents the percentage of students that failed screening, yet did not receive glasses</w:t>
      </w:r>
    </w:p>
    <w:p w14:paraId="7AE9FAD8" w14:textId="77777777" w:rsidR="00BD5051" w:rsidRDefault="00BD5051" w:rsidP="00DB3309">
      <w:pPr>
        <w:rPr>
          <w:b/>
          <w:bCs/>
        </w:rPr>
      </w:pPr>
    </w:p>
    <w:tbl>
      <w:tblPr>
        <w:tblStyle w:val="TableGrid"/>
        <w:tblpPr w:leftFromText="180" w:rightFromText="180" w:vertAnchor="page" w:horzAnchor="margin" w:tblpY="2221"/>
        <w:tblW w:w="9805" w:type="dxa"/>
        <w:tblLook w:val="04A0" w:firstRow="1" w:lastRow="0" w:firstColumn="1" w:lastColumn="0" w:noHBand="0" w:noVBand="1"/>
      </w:tblPr>
      <w:tblGrid>
        <w:gridCol w:w="2088"/>
        <w:gridCol w:w="1061"/>
        <w:gridCol w:w="750"/>
        <w:gridCol w:w="1048"/>
        <w:gridCol w:w="1033"/>
        <w:gridCol w:w="1312"/>
        <w:gridCol w:w="909"/>
        <w:gridCol w:w="1604"/>
      </w:tblGrid>
      <w:tr w:rsidR="00A72F9E" w:rsidRPr="00DF278B" w14:paraId="20901E04" w14:textId="77777777" w:rsidTr="00A72F9E">
        <w:tc>
          <w:tcPr>
            <w:tcW w:w="2088" w:type="dxa"/>
            <w:tcBorders>
              <w:top w:val="nil"/>
              <w:left w:val="nil"/>
            </w:tcBorders>
            <w:vAlign w:val="center"/>
          </w:tcPr>
          <w:p w14:paraId="10286ED3" w14:textId="77777777" w:rsidR="00A72F9E" w:rsidRPr="00725248" w:rsidRDefault="00A72F9E" w:rsidP="00A72F9E">
            <w:pPr>
              <w:jc w:val="center"/>
              <w:rPr>
                <w:b/>
                <w:bCs/>
                <w:color w:val="000000"/>
                <w:sz w:val="20"/>
                <w:szCs w:val="20"/>
              </w:rPr>
            </w:pPr>
          </w:p>
        </w:tc>
        <w:tc>
          <w:tcPr>
            <w:tcW w:w="3892" w:type="dxa"/>
            <w:gridSpan w:val="4"/>
            <w:shd w:val="clear" w:color="auto" w:fill="D9D9D9" w:themeFill="background1" w:themeFillShade="D9"/>
            <w:vAlign w:val="center"/>
          </w:tcPr>
          <w:p w14:paraId="7A30607A" w14:textId="77777777" w:rsidR="00A72F9E" w:rsidRPr="00725248" w:rsidRDefault="00A72F9E" w:rsidP="00A72F9E">
            <w:pPr>
              <w:jc w:val="center"/>
              <w:rPr>
                <w:b/>
                <w:bCs/>
                <w:color w:val="000000"/>
                <w:sz w:val="20"/>
                <w:szCs w:val="20"/>
              </w:rPr>
            </w:pPr>
            <w:r w:rsidRPr="00725248">
              <w:rPr>
                <w:b/>
                <w:bCs/>
                <w:color w:val="000000"/>
                <w:sz w:val="20"/>
                <w:szCs w:val="20"/>
              </w:rPr>
              <w:t xml:space="preserve">School-Based Refraction </w:t>
            </w:r>
          </w:p>
        </w:tc>
        <w:tc>
          <w:tcPr>
            <w:tcW w:w="2221" w:type="dxa"/>
            <w:gridSpan w:val="2"/>
            <w:shd w:val="clear" w:color="auto" w:fill="D9D9D9" w:themeFill="background1" w:themeFillShade="D9"/>
            <w:vAlign w:val="center"/>
          </w:tcPr>
          <w:p w14:paraId="2CF221A1" w14:textId="77777777" w:rsidR="00A72F9E" w:rsidRPr="00725248" w:rsidRDefault="00A72F9E" w:rsidP="00A72F9E">
            <w:pPr>
              <w:jc w:val="center"/>
              <w:rPr>
                <w:b/>
                <w:bCs/>
                <w:color w:val="000000"/>
                <w:sz w:val="20"/>
                <w:szCs w:val="20"/>
              </w:rPr>
            </w:pPr>
            <w:r w:rsidRPr="00725248">
              <w:rPr>
                <w:b/>
                <w:bCs/>
                <w:color w:val="000000"/>
                <w:sz w:val="20"/>
                <w:szCs w:val="20"/>
              </w:rPr>
              <w:t xml:space="preserve">Central Refraction </w:t>
            </w:r>
          </w:p>
        </w:tc>
        <w:tc>
          <w:tcPr>
            <w:tcW w:w="1604" w:type="dxa"/>
            <w:tcBorders>
              <w:top w:val="nil"/>
              <w:right w:val="nil"/>
            </w:tcBorders>
            <w:vAlign w:val="bottom"/>
          </w:tcPr>
          <w:p w14:paraId="6000FA53" w14:textId="77777777" w:rsidR="00A72F9E" w:rsidRPr="00725248" w:rsidRDefault="00A72F9E" w:rsidP="00A72F9E">
            <w:pPr>
              <w:jc w:val="center"/>
              <w:rPr>
                <w:b/>
                <w:bCs/>
                <w:color w:val="000000"/>
                <w:sz w:val="22"/>
                <w:szCs w:val="22"/>
              </w:rPr>
            </w:pPr>
          </w:p>
        </w:tc>
      </w:tr>
      <w:tr w:rsidR="00A72F9E" w:rsidRPr="00DF278B" w14:paraId="2DB36089" w14:textId="77777777" w:rsidTr="00A72F9E">
        <w:tc>
          <w:tcPr>
            <w:tcW w:w="2088" w:type="dxa"/>
            <w:shd w:val="clear" w:color="auto" w:fill="D9D9D9" w:themeFill="background1" w:themeFillShade="D9"/>
            <w:vAlign w:val="center"/>
          </w:tcPr>
          <w:p w14:paraId="53DC4D74" w14:textId="77777777" w:rsidR="00A72F9E" w:rsidRPr="00725248" w:rsidRDefault="00A72F9E" w:rsidP="00A72F9E">
            <w:pPr>
              <w:jc w:val="center"/>
              <w:rPr>
                <w:b/>
                <w:bCs/>
                <w:color w:val="000000"/>
                <w:sz w:val="20"/>
                <w:szCs w:val="20"/>
              </w:rPr>
            </w:pPr>
            <w:r w:rsidRPr="00725248">
              <w:rPr>
                <w:b/>
                <w:bCs/>
                <w:color w:val="000000"/>
                <w:sz w:val="20"/>
                <w:szCs w:val="20"/>
              </w:rPr>
              <w:t>Outcome Metric</w:t>
            </w:r>
          </w:p>
        </w:tc>
        <w:tc>
          <w:tcPr>
            <w:tcW w:w="1061" w:type="dxa"/>
            <w:shd w:val="clear" w:color="auto" w:fill="D9D9D9" w:themeFill="background1" w:themeFillShade="D9"/>
            <w:vAlign w:val="center"/>
          </w:tcPr>
          <w:p w14:paraId="4594385A" w14:textId="77777777" w:rsidR="00A72F9E" w:rsidRPr="00725248" w:rsidRDefault="00A72F9E" w:rsidP="00A72F9E">
            <w:pPr>
              <w:jc w:val="center"/>
              <w:rPr>
                <w:b/>
                <w:bCs/>
                <w:color w:val="000000"/>
                <w:sz w:val="20"/>
                <w:szCs w:val="20"/>
              </w:rPr>
            </w:pPr>
            <w:r w:rsidRPr="00725248">
              <w:rPr>
                <w:b/>
                <w:bCs/>
                <w:color w:val="000000"/>
                <w:sz w:val="20"/>
                <w:szCs w:val="20"/>
              </w:rPr>
              <w:t>Makassar</w:t>
            </w:r>
          </w:p>
        </w:tc>
        <w:tc>
          <w:tcPr>
            <w:tcW w:w="750" w:type="dxa"/>
            <w:shd w:val="clear" w:color="auto" w:fill="D9D9D9" w:themeFill="background1" w:themeFillShade="D9"/>
            <w:vAlign w:val="center"/>
          </w:tcPr>
          <w:p w14:paraId="6242AD09" w14:textId="77777777" w:rsidR="00A72F9E" w:rsidRPr="00725248" w:rsidRDefault="00A72F9E" w:rsidP="00A72F9E">
            <w:pPr>
              <w:jc w:val="center"/>
              <w:rPr>
                <w:b/>
                <w:bCs/>
                <w:color w:val="000000"/>
                <w:sz w:val="20"/>
                <w:szCs w:val="20"/>
              </w:rPr>
            </w:pPr>
            <w:r w:rsidRPr="00725248">
              <w:rPr>
                <w:b/>
                <w:bCs/>
                <w:color w:val="000000"/>
                <w:sz w:val="20"/>
                <w:szCs w:val="20"/>
              </w:rPr>
              <w:t>Gowa</w:t>
            </w:r>
          </w:p>
        </w:tc>
        <w:tc>
          <w:tcPr>
            <w:tcW w:w="1048" w:type="dxa"/>
            <w:shd w:val="clear" w:color="auto" w:fill="D9D9D9" w:themeFill="background1" w:themeFillShade="D9"/>
            <w:vAlign w:val="center"/>
          </w:tcPr>
          <w:p w14:paraId="32F51207" w14:textId="77777777" w:rsidR="00A72F9E" w:rsidRPr="00725248" w:rsidRDefault="00A72F9E" w:rsidP="00A72F9E">
            <w:pPr>
              <w:jc w:val="center"/>
              <w:rPr>
                <w:b/>
                <w:bCs/>
                <w:color w:val="000000"/>
                <w:sz w:val="20"/>
                <w:szCs w:val="20"/>
              </w:rPr>
            </w:pPr>
            <w:r w:rsidRPr="00725248">
              <w:rPr>
                <w:b/>
                <w:bCs/>
                <w:color w:val="000000"/>
                <w:sz w:val="20"/>
                <w:szCs w:val="20"/>
              </w:rPr>
              <w:t>Palopo</w:t>
            </w:r>
          </w:p>
        </w:tc>
        <w:tc>
          <w:tcPr>
            <w:tcW w:w="1033" w:type="dxa"/>
            <w:shd w:val="clear" w:color="auto" w:fill="D9D9D9" w:themeFill="background1" w:themeFillShade="D9"/>
            <w:vAlign w:val="center"/>
          </w:tcPr>
          <w:p w14:paraId="7EC175A0" w14:textId="77777777" w:rsidR="00A72F9E" w:rsidRPr="00725248" w:rsidRDefault="00A72F9E" w:rsidP="00A72F9E">
            <w:pPr>
              <w:jc w:val="center"/>
              <w:rPr>
                <w:b/>
                <w:bCs/>
                <w:color w:val="000000"/>
                <w:sz w:val="20"/>
                <w:szCs w:val="20"/>
              </w:rPr>
            </w:pPr>
            <w:r w:rsidRPr="00725248">
              <w:rPr>
                <w:b/>
                <w:bCs/>
                <w:color w:val="000000"/>
                <w:sz w:val="20"/>
                <w:szCs w:val="20"/>
              </w:rPr>
              <w:t>Parepare</w:t>
            </w:r>
          </w:p>
        </w:tc>
        <w:tc>
          <w:tcPr>
            <w:tcW w:w="1312" w:type="dxa"/>
            <w:shd w:val="clear" w:color="auto" w:fill="D9D9D9" w:themeFill="background1" w:themeFillShade="D9"/>
            <w:vAlign w:val="center"/>
          </w:tcPr>
          <w:p w14:paraId="5ECA6838" w14:textId="77777777" w:rsidR="00A72F9E" w:rsidRPr="00725248" w:rsidRDefault="00A72F9E" w:rsidP="00A72F9E">
            <w:pPr>
              <w:jc w:val="center"/>
              <w:rPr>
                <w:b/>
                <w:bCs/>
                <w:color w:val="000000"/>
                <w:sz w:val="20"/>
                <w:szCs w:val="20"/>
              </w:rPr>
            </w:pPr>
            <w:r w:rsidRPr="00725248">
              <w:rPr>
                <w:b/>
                <w:bCs/>
                <w:color w:val="000000"/>
                <w:sz w:val="20"/>
                <w:szCs w:val="20"/>
              </w:rPr>
              <w:t>Bulukumba</w:t>
            </w:r>
          </w:p>
        </w:tc>
        <w:tc>
          <w:tcPr>
            <w:tcW w:w="909" w:type="dxa"/>
            <w:shd w:val="clear" w:color="auto" w:fill="D9D9D9" w:themeFill="background1" w:themeFillShade="D9"/>
            <w:vAlign w:val="center"/>
          </w:tcPr>
          <w:p w14:paraId="160D182B" w14:textId="77777777" w:rsidR="00A72F9E" w:rsidRPr="00725248" w:rsidRDefault="00A72F9E" w:rsidP="00A72F9E">
            <w:pPr>
              <w:jc w:val="center"/>
              <w:rPr>
                <w:b/>
                <w:bCs/>
                <w:color w:val="000000"/>
                <w:sz w:val="20"/>
                <w:szCs w:val="20"/>
              </w:rPr>
            </w:pPr>
            <w:r w:rsidRPr="00725248">
              <w:rPr>
                <w:b/>
                <w:bCs/>
                <w:color w:val="000000"/>
                <w:sz w:val="20"/>
                <w:szCs w:val="20"/>
              </w:rPr>
              <w:t>Bone</w:t>
            </w:r>
          </w:p>
        </w:tc>
        <w:tc>
          <w:tcPr>
            <w:tcW w:w="1604" w:type="dxa"/>
            <w:shd w:val="clear" w:color="auto" w:fill="D9D9D9" w:themeFill="background1" w:themeFillShade="D9"/>
            <w:vAlign w:val="bottom"/>
          </w:tcPr>
          <w:p w14:paraId="0F64EBB6" w14:textId="77777777" w:rsidR="00A72F9E" w:rsidRPr="00725248" w:rsidRDefault="00A72F9E" w:rsidP="00A72F9E">
            <w:pPr>
              <w:jc w:val="center"/>
              <w:rPr>
                <w:b/>
                <w:bCs/>
                <w:color w:val="000000"/>
                <w:sz w:val="20"/>
                <w:szCs w:val="20"/>
              </w:rPr>
            </w:pPr>
            <w:r w:rsidRPr="00725248">
              <w:rPr>
                <w:b/>
                <w:bCs/>
                <w:color w:val="000000"/>
                <w:sz w:val="20"/>
                <w:szCs w:val="20"/>
              </w:rPr>
              <w:t>Total</w:t>
            </w:r>
          </w:p>
        </w:tc>
      </w:tr>
      <w:tr w:rsidR="00A72F9E" w:rsidRPr="00DF278B" w14:paraId="6CDB4107" w14:textId="77777777" w:rsidTr="00A72F9E">
        <w:tc>
          <w:tcPr>
            <w:tcW w:w="2088" w:type="dxa"/>
            <w:vAlign w:val="center"/>
          </w:tcPr>
          <w:p w14:paraId="558B432E" w14:textId="77777777" w:rsidR="00A72F9E" w:rsidRPr="00725248" w:rsidRDefault="00A72F9E" w:rsidP="00A72F9E">
            <w:pPr>
              <w:jc w:val="center"/>
              <w:rPr>
                <w:color w:val="000000"/>
                <w:sz w:val="20"/>
                <w:szCs w:val="20"/>
              </w:rPr>
            </w:pPr>
            <w:r w:rsidRPr="00725248">
              <w:rPr>
                <w:color w:val="000000"/>
                <w:sz w:val="20"/>
                <w:szCs w:val="20"/>
              </w:rPr>
              <w:t>Schools Screened</w:t>
            </w:r>
          </w:p>
        </w:tc>
        <w:tc>
          <w:tcPr>
            <w:tcW w:w="1061" w:type="dxa"/>
            <w:vAlign w:val="center"/>
          </w:tcPr>
          <w:p w14:paraId="5A9D2CA0" w14:textId="77777777" w:rsidR="00A72F9E" w:rsidRPr="00725248" w:rsidRDefault="00A72F9E" w:rsidP="00A72F9E">
            <w:pPr>
              <w:jc w:val="center"/>
              <w:rPr>
                <w:color w:val="000000"/>
                <w:sz w:val="20"/>
                <w:szCs w:val="20"/>
              </w:rPr>
            </w:pPr>
            <w:r w:rsidRPr="00725248">
              <w:rPr>
                <w:color w:val="000000"/>
                <w:sz w:val="20"/>
                <w:szCs w:val="20"/>
              </w:rPr>
              <w:t>31</w:t>
            </w:r>
          </w:p>
        </w:tc>
        <w:tc>
          <w:tcPr>
            <w:tcW w:w="750" w:type="dxa"/>
            <w:vAlign w:val="center"/>
          </w:tcPr>
          <w:p w14:paraId="5AC5EC10" w14:textId="77777777" w:rsidR="00A72F9E" w:rsidRPr="00725248" w:rsidRDefault="00A72F9E" w:rsidP="00A72F9E">
            <w:pPr>
              <w:jc w:val="center"/>
              <w:rPr>
                <w:color w:val="000000"/>
                <w:sz w:val="20"/>
                <w:szCs w:val="20"/>
              </w:rPr>
            </w:pPr>
            <w:r w:rsidRPr="00725248">
              <w:rPr>
                <w:color w:val="000000"/>
                <w:sz w:val="20"/>
                <w:szCs w:val="20"/>
              </w:rPr>
              <w:t>26</w:t>
            </w:r>
          </w:p>
        </w:tc>
        <w:tc>
          <w:tcPr>
            <w:tcW w:w="1048" w:type="dxa"/>
            <w:vAlign w:val="center"/>
          </w:tcPr>
          <w:p w14:paraId="75FDF7E7" w14:textId="77777777" w:rsidR="00A72F9E" w:rsidRPr="00725248" w:rsidRDefault="00A72F9E" w:rsidP="00A72F9E">
            <w:pPr>
              <w:jc w:val="center"/>
              <w:rPr>
                <w:color w:val="000000"/>
                <w:sz w:val="20"/>
                <w:szCs w:val="20"/>
              </w:rPr>
            </w:pPr>
            <w:r w:rsidRPr="00725248">
              <w:rPr>
                <w:color w:val="000000"/>
                <w:sz w:val="20"/>
                <w:szCs w:val="20"/>
              </w:rPr>
              <w:t>28</w:t>
            </w:r>
          </w:p>
        </w:tc>
        <w:tc>
          <w:tcPr>
            <w:tcW w:w="1033" w:type="dxa"/>
            <w:vAlign w:val="center"/>
          </w:tcPr>
          <w:p w14:paraId="2B1C4DCF" w14:textId="77777777" w:rsidR="00A72F9E" w:rsidRPr="00725248" w:rsidRDefault="00A72F9E" w:rsidP="00A72F9E">
            <w:pPr>
              <w:jc w:val="center"/>
              <w:rPr>
                <w:color w:val="000000"/>
                <w:sz w:val="20"/>
                <w:szCs w:val="20"/>
              </w:rPr>
            </w:pPr>
            <w:r w:rsidRPr="00725248">
              <w:rPr>
                <w:color w:val="000000"/>
                <w:sz w:val="20"/>
                <w:szCs w:val="20"/>
              </w:rPr>
              <w:t>29</w:t>
            </w:r>
          </w:p>
        </w:tc>
        <w:tc>
          <w:tcPr>
            <w:tcW w:w="1312" w:type="dxa"/>
            <w:vAlign w:val="center"/>
          </w:tcPr>
          <w:p w14:paraId="77E1BF75" w14:textId="77777777" w:rsidR="00A72F9E" w:rsidRPr="00725248" w:rsidRDefault="00A72F9E" w:rsidP="00A72F9E">
            <w:pPr>
              <w:jc w:val="center"/>
              <w:rPr>
                <w:color w:val="000000"/>
                <w:sz w:val="20"/>
                <w:szCs w:val="20"/>
              </w:rPr>
            </w:pPr>
            <w:r w:rsidRPr="00725248">
              <w:rPr>
                <w:color w:val="000000"/>
                <w:sz w:val="20"/>
                <w:szCs w:val="20"/>
              </w:rPr>
              <w:t>28</w:t>
            </w:r>
          </w:p>
        </w:tc>
        <w:tc>
          <w:tcPr>
            <w:tcW w:w="909" w:type="dxa"/>
            <w:vAlign w:val="center"/>
          </w:tcPr>
          <w:p w14:paraId="2A7AF3BA" w14:textId="77777777" w:rsidR="00A72F9E" w:rsidRPr="00725248" w:rsidRDefault="00A72F9E" w:rsidP="00A72F9E">
            <w:pPr>
              <w:jc w:val="center"/>
              <w:rPr>
                <w:color w:val="000000"/>
                <w:sz w:val="20"/>
                <w:szCs w:val="20"/>
              </w:rPr>
            </w:pPr>
            <w:r w:rsidRPr="00725248">
              <w:rPr>
                <w:color w:val="000000"/>
                <w:sz w:val="20"/>
                <w:szCs w:val="20"/>
              </w:rPr>
              <w:t>28</w:t>
            </w:r>
          </w:p>
        </w:tc>
        <w:tc>
          <w:tcPr>
            <w:tcW w:w="1604" w:type="dxa"/>
            <w:vAlign w:val="center"/>
          </w:tcPr>
          <w:p w14:paraId="49E4E2BD" w14:textId="77777777" w:rsidR="00A72F9E" w:rsidRPr="00DF278B" w:rsidRDefault="00A72F9E" w:rsidP="00A72F9E">
            <w:pPr>
              <w:jc w:val="center"/>
              <w:rPr>
                <w:sz w:val="20"/>
                <w:szCs w:val="20"/>
              </w:rPr>
            </w:pPr>
            <w:r w:rsidRPr="00DF278B">
              <w:rPr>
                <w:sz w:val="20"/>
                <w:szCs w:val="20"/>
              </w:rPr>
              <w:t>170</w:t>
            </w:r>
          </w:p>
        </w:tc>
      </w:tr>
      <w:tr w:rsidR="00A72F9E" w:rsidRPr="00DF278B" w14:paraId="631BCA8B" w14:textId="77777777" w:rsidTr="00A72F9E">
        <w:tc>
          <w:tcPr>
            <w:tcW w:w="2088" w:type="dxa"/>
            <w:vAlign w:val="center"/>
          </w:tcPr>
          <w:p w14:paraId="325A979D" w14:textId="77777777" w:rsidR="00A72F9E" w:rsidRPr="00725248" w:rsidRDefault="00A72F9E" w:rsidP="00A72F9E">
            <w:pPr>
              <w:jc w:val="center"/>
              <w:rPr>
                <w:color w:val="000000"/>
                <w:sz w:val="20"/>
                <w:szCs w:val="20"/>
              </w:rPr>
            </w:pPr>
            <w:r w:rsidRPr="00725248">
              <w:rPr>
                <w:color w:val="000000"/>
                <w:sz w:val="20"/>
                <w:szCs w:val="20"/>
              </w:rPr>
              <w:t>Students Screened</w:t>
            </w:r>
          </w:p>
        </w:tc>
        <w:tc>
          <w:tcPr>
            <w:tcW w:w="1061" w:type="dxa"/>
            <w:vAlign w:val="center"/>
          </w:tcPr>
          <w:p w14:paraId="5877356E" w14:textId="77777777" w:rsidR="00A72F9E" w:rsidRPr="00725248" w:rsidRDefault="00A72F9E" w:rsidP="00A72F9E">
            <w:pPr>
              <w:jc w:val="center"/>
              <w:rPr>
                <w:color w:val="000000"/>
                <w:sz w:val="20"/>
                <w:szCs w:val="20"/>
              </w:rPr>
            </w:pPr>
            <w:r w:rsidRPr="00725248">
              <w:rPr>
                <w:color w:val="000000"/>
                <w:sz w:val="20"/>
                <w:szCs w:val="20"/>
              </w:rPr>
              <w:t>8,235</w:t>
            </w:r>
          </w:p>
        </w:tc>
        <w:tc>
          <w:tcPr>
            <w:tcW w:w="750" w:type="dxa"/>
            <w:vAlign w:val="center"/>
          </w:tcPr>
          <w:p w14:paraId="70499D2B" w14:textId="77777777" w:rsidR="00A72F9E" w:rsidRPr="00725248" w:rsidRDefault="00A72F9E" w:rsidP="00A72F9E">
            <w:pPr>
              <w:jc w:val="center"/>
              <w:rPr>
                <w:color w:val="000000"/>
                <w:sz w:val="20"/>
                <w:szCs w:val="20"/>
              </w:rPr>
            </w:pPr>
            <w:r w:rsidRPr="00725248">
              <w:rPr>
                <w:color w:val="000000"/>
                <w:sz w:val="20"/>
                <w:szCs w:val="20"/>
              </w:rPr>
              <w:t>7,120</w:t>
            </w:r>
          </w:p>
        </w:tc>
        <w:tc>
          <w:tcPr>
            <w:tcW w:w="1048" w:type="dxa"/>
            <w:vAlign w:val="center"/>
          </w:tcPr>
          <w:p w14:paraId="531F5D27" w14:textId="77777777" w:rsidR="00A72F9E" w:rsidRPr="00725248" w:rsidRDefault="00A72F9E" w:rsidP="00A72F9E">
            <w:pPr>
              <w:jc w:val="center"/>
              <w:rPr>
                <w:color w:val="000000"/>
                <w:sz w:val="20"/>
                <w:szCs w:val="20"/>
              </w:rPr>
            </w:pPr>
            <w:r w:rsidRPr="00725248">
              <w:rPr>
                <w:color w:val="000000"/>
                <w:sz w:val="20"/>
                <w:szCs w:val="20"/>
              </w:rPr>
              <w:t>5,562</w:t>
            </w:r>
          </w:p>
        </w:tc>
        <w:tc>
          <w:tcPr>
            <w:tcW w:w="1033" w:type="dxa"/>
            <w:vAlign w:val="center"/>
          </w:tcPr>
          <w:p w14:paraId="7545759C" w14:textId="77777777" w:rsidR="00A72F9E" w:rsidRPr="00725248" w:rsidRDefault="00A72F9E" w:rsidP="00A72F9E">
            <w:pPr>
              <w:jc w:val="center"/>
              <w:rPr>
                <w:color w:val="000000"/>
                <w:sz w:val="20"/>
                <w:szCs w:val="20"/>
              </w:rPr>
            </w:pPr>
            <w:r w:rsidRPr="00725248">
              <w:rPr>
                <w:color w:val="000000"/>
                <w:sz w:val="20"/>
                <w:szCs w:val="20"/>
              </w:rPr>
              <w:t>5,138</w:t>
            </w:r>
          </w:p>
        </w:tc>
        <w:tc>
          <w:tcPr>
            <w:tcW w:w="1312" w:type="dxa"/>
            <w:vAlign w:val="center"/>
          </w:tcPr>
          <w:p w14:paraId="04BDD6B7" w14:textId="77777777" w:rsidR="00A72F9E" w:rsidRPr="00725248" w:rsidRDefault="00A72F9E" w:rsidP="00A72F9E">
            <w:pPr>
              <w:jc w:val="center"/>
              <w:rPr>
                <w:color w:val="000000"/>
                <w:sz w:val="20"/>
                <w:szCs w:val="20"/>
              </w:rPr>
            </w:pPr>
            <w:r w:rsidRPr="00725248">
              <w:rPr>
                <w:color w:val="000000"/>
                <w:sz w:val="20"/>
                <w:szCs w:val="20"/>
              </w:rPr>
              <w:t>7,344</w:t>
            </w:r>
          </w:p>
        </w:tc>
        <w:tc>
          <w:tcPr>
            <w:tcW w:w="909" w:type="dxa"/>
            <w:vAlign w:val="center"/>
          </w:tcPr>
          <w:p w14:paraId="01E2D378" w14:textId="77777777" w:rsidR="00A72F9E" w:rsidRPr="00725248" w:rsidRDefault="00A72F9E" w:rsidP="00A72F9E">
            <w:pPr>
              <w:jc w:val="center"/>
              <w:rPr>
                <w:color w:val="000000"/>
                <w:sz w:val="20"/>
                <w:szCs w:val="20"/>
              </w:rPr>
            </w:pPr>
            <w:r w:rsidRPr="00725248">
              <w:rPr>
                <w:color w:val="000000"/>
                <w:sz w:val="20"/>
                <w:szCs w:val="20"/>
              </w:rPr>
              <w:t>7,813</w:t>
            </w:r>
          </w:p>
        </w:tc>
        <w:tc>
          <w:tcPr>
            <w:tcW w:w="1604" w:type="dxa"/>
            <w:vAlign w:val="center"/>
          </w:tcPr>
          <w:p w14:paraId="75D763C7" w14:textId="77777777" w:rsidR="00A72F9E" w:rsidRPr="00DF278B" w:rsidRDefault="00A72F9E" w:rsidP="00A72F9E">
            <w:pPr>
              <w:jc w:val="center"/>
              <w:rPr>
                <w:sz w:val="20"/>
                <w:szCs w:val="20"/>
              </w:rPr>
            </w:pPr>
            <w:r w:rsidRPr="00DF278B">
              <w:rPr>
                <w:sz w:val="20"/>
                <w:szCs w:val="20"/>
              </w:rPr>
              <w:t>41,212</w:t>
            </w:r>
          </w:p>
        </w:tc>
      </w:tr>
      <w:tr w:rsidR="00A72F9E" w:rsidRPr="00DF278B" w14:paraId="4E74E247" w14:textId="77777777" w:rsidTr="00A72F9E">
        <w:tc>
          <w:tcPr>
            <w:tcW w:w="2088" w:type="dxa"/>
            <w:vAlign w:val="center"/>
          </w:tcPr>
          <w:p w14:paraId="3C363400" w14:textId="77777777" w:rsidR="00A72F9E" w:rsidRPr="00725248" w:rsidRDefault="00A72F9E" w:rsidP="00A72F9E">
            <w:pPr>
              <w:jc w:val="center"/>
              <w:rPr>
                <w:color w:val="000000"/>
                <w:sz w:val="20"/>
                <w:szCs w:val="20"/>
              </w:rPr>
            </w:pPr>
            <w:r w:rsidRPr="00725248">
              <w:rPr>
                <w:color w:val="000000"/>
                <w:sz w:val="20"/>
                <w:szCs w:val="20"/>
              </w:rPr>
              <w:t>Students Failing Screening</w:t>
            </w:r>
          </w:p>
        </w:tc>
        <w:tc>
          <w:tcPr>
            <w:tcW w:w="1061" w:type="dxa"/>
            <w:vAlign w:val="center"/>
          </w:tcPr>
          <w:p w14:paraId="0675C75C" w14:textId="77777777" w:rsidR="00A72F9E" w:rsidRPr="00725248" w:rsidRDefault="00A72F9E" w:rsidP="00A72F9E">
            <w:pPr>
              <w:jc w:val="center"/>
              <w:rPr>
                <w:color w:val="000000"/>
                <w:sz w:val="20"/>
                <w:szCs w:val="20"/>
              </w:rPr>
            </w:pPr>
            <w:r w:rsidRPr="00725248">
              <w:rPr>
                <w:color w:val="000000"/>
                <w:sz w:val="20"/>
                <w:szCs w:val="20"/>
              </w:rPr>
              <w:t>1,363</w:t>
            </w:r>
          </w:p>
        </w:tc>
        <w:tc>
          <w:tcPr>
            <w:tcW w:w="750" w:type="dxa"/>
            <w:vAlign w:val="center"/>
          </w:tcPr>
          <w:p w14:paraId="6F6DC25A" w14:textId="77777777" w:rsidR="00A72F9E" w:rsidRPr="00725248" w:rsidRDefault="00A72F9E" w:rsidP="00A72F9E">
            <w:pPr>
              <w:jc w:val="center"/>
              <w:rPr>
                <w:color w:val="000000"/>
                <w:sz w:val="20"/>
                <w:szCs w:val="20"/>
              </w:rPr>
            </w:pPr>
            <w:r w:rsidRPr="00725248">
              <w:rPr>
                <w:color w:val="000000"/>
                <w:sz w:val="20"/>
                <w:szCs w:val="20"/>
              </w:rPr>
              <w:t>826</w:t>
            </w:r>
          </w:p>
        </w:tc>
        <w:tc>
          <w:tcPr>
            <w:tcW w:w="1048" w:type="dxa"/>
            <w:vAlign w:val="center"/>
          </w:tcPr>
          <w:p w14:paraId="60C5DDCC" w14:textId="77777777" w:rsidR="00A72F9E" w:rsidRPr="00725248" w:rsidRDefault="00A72F9E" w:rsidP="00A72F9E">
            <w:pPr>
              <w:jc w:val="center"/>
              <w:rPr>
                <w:color w:val="000000"/>
                <w:sz w:val="20"/>
                <w:szCs w:val="20"/>
              </w:rPr>
            </w:pPr>
            <w:r w:rsidRPr="00725248">
              <w:rPr>
                <w:color w:val="000000"/>
                <w:sz w:val="20"/>
                <w:szCs w:val="20"/>
              </w:rPr>
              <w:t>505</w:t>
            </w:r>
          </w:p>
        </w:tc>
        <w:tc>
          <w:tcPr>
            <w:tcW w:w="1033" w:type="dxa"/>
            <w:vAlign w:val="center"/>
          </w:tcPr>
          <w:p w14:paraId="21DAB28E" w14:textId="77777777" w:rsidR="00A72F9E" w:rsidRPr="00725248" w:rsidRDefault="00A72F9E" w:rsidP="00A72F9E">
            <w:pPr>
              <w:jc w:val="center"/>
              <w:rPr>
                <w:color w:val="000000"/>
                <w:sz w:val="20"/>
                <w:szCs w:val="20"/>
              </w:rPr>
            </w:pPr>
            <w:r w:rsidRPr="00725248">
              <w:rPr>
                <w:color w:val="000000"/>
                <w:sz w:val="20"/>
                <w:szCs w:val="20"/>
              </w:rPr>
              <w:t>646</w:t>
            </w:r>
          </w:p>
        </w:tc>
        <w:tc>
          <w:tcPr>
            <w:tcW w:w="1312" w:type="dxa"/>
            <w:vAlign w:val="center"/>
          </w:tcPr>
          <w:p w14:paraId="5E00A416" w14:textId="77777777" w:rsidR="00A72F9E" w:rsidRPr="00725248" w:rsidRDefault="00A72F9E" w:rsidP="00A72F9E">
            <w:pPr>
              <w:jc w:val="center"/>
              <w:rPr>
                <w:color w:val="000000"/>
                <w:sz w:val="20"/>
                <w:szCs w:val="20"/>
              </w:rPr>
            </w:pPr>
            <w:r w:rsidRPr="00725248">
              <w:rPr>
                <w:color w:val="000000"/>
                <w:sz w:val="20"/>
                <w:szCs w:val="20"/>
              </w:rPr>
              <w:t>837</w:t>
            </w:r>
          </w:p>
        </w:tc>
        <w:tc>
          <w:tcPr>
            <w:tcW w:w="909" w:type="dxa"/>
            <w:vAlign w:val="center"/>
          </w:tcPr>
          <w:p w14:paraId="59A3CA2A" w14:textId="77777777" w:rsidR="00A72F9E" w:rsidRPr="00725248" w:rsidRDefault="00A72F9E" w:rsidP="00A72F9E">
            <w:pPr>
              <w:jc w:val="center"/>
              <w:rPr>
                <w:color w:val="000000"/>
                <w:sz w:val="20"/>
                <w:szCs w:val="20"/>
              </w:rPr>
            </w:pPr>
            <w:r w:rsidRPr="00725248">
              <w:rPr>
                <w:color w:val="000000"/>
                <w:sz w:val="20"/>
                <w:szCs w:val="20"/>
              </w:rPr>
              <w:t>329</w:t>
            </w:r>
          </w:p>
        </w:tc>
        <w:tc>
          <w:tcPr>
            <w:tcW w:w="1604" w:type="dxa"/>
            <w:vAlign w:val="center"/>
          </w:tcPr>
          <w:p w14:paraId="7B8F95DB" w14:textId="77777777" w:rsidR="00A72F9E" w:rsidRPr="00DF278B" w:rsidRDefault="00A72F9E" w:rsidP="00A72F9E">
            <w:pPr>
              <w:jc w:val="center"/>
              <w:rPr>
                <w:sz w:val="20"/>
                <w:szCs w:val="20"/>
              </w:rPr>
            </w:pPr>
            <w:r w:rsidRPr="00DF278B">
              <w:rPr>
                <w:sz w:val="20"/>
                <w:szCs w:val="20"/>
              </w:rPr>
              <w:t>4,506</w:t>
            </w:r>
          </w:p>
        </w:tc>
      </w:tr>
      <w:tr w:rsidR="00A72F9E" w:rsidRPr="00DF278B" w14:paraId="5F069650" w14:textId="77777777" w:rsidTr="00A72F9E">
        <w:tc>
          <w:tcPr>
            <w:tcW w:w="2088" w:type="dxa"/>
            <w:vAlign w:val="center"/>
          </w:tcPr>
          <w:p w14:paraId="75199109" w14:textId="77777777" w:rsidR="00A72F9E" w:rsidRPr="00725248" w:rsidRDefault="00A72F9E" w:rsidP="00A72F9E">
            <w:pPr>
              <w:jc w:val="center"/>
              <w:rPr>
                <w:color w:val="000000"/>
                <w:sz w:val="20"/>
                <w:szCs w:val="20"/>
              </w:rPr>
            </w:pPr>
            <w:r w:rsidRPr="00725248">
              <w:rPr>
                <w:color w:val="000000"/>
                <w:sz w:val="20"/>
                <w:szCs w:val="20"/>
              </w:rPr>
              <w:t xml:space="preserve">Schools Receiving Refraction </w:t>
            </w:r>
          </w:p>
        </w:tc>
        <w:tc>
          <w:tcPr>
            <w:tcW w:w="1061" w:type="dxa"/>
            <w:vAlign w:val="center"/>
          </w:tcPr>
          <w:p w14:paraId="70DDFEE7" w14:textId="77777777" w:rsidR="00A72F9E" w:rsidRPr="00725248" w:rsidRDefault="00A72F9E" w:rsidP="00A72F9E">
            <w:pPr>
              <w:jc w:val="center"/>
              <w:rPr>
                <w:color w:val="000000"/>
                <w:sz w:val="20"/>
                <w:szCs w:val="20"/>
              </w:rPr>
            </w:pPr>
            <w:r w:rsidRPr="00725248">
              <w:rPr>
                <w:color w:val="000000"/>
                <w:sz w:val="20"/>
                <w:szCs w:val="20"/>
              </w:rPr>
              <w:t>30</w:t>
            </w:r>
          </w:p>
        </w:tc>
        <w:tc>
          <w:tcPr>
            <w:tcW w:w="750" w:type="dxa"/>
            <w:vAlign w:val="center"/>
          </w:tcPr>
          <w:p w14:paraId="0F88CED8" w14:textId="77777777" w:rsidR="00A72F9E" w:rsidRPr="00725248" w:rsidRDefault="00A72F9E" w:rsidP="00A72F9E">
            <w:pPr>
              <w:jc w:val="center"/>
              <w:rPr>
                <w:color w:val="000000"/>
                <w:sz w:val="20"/>
                <w:szCs w:val="20"/>
              </w:rPr>
            </w:pPr>
            <w:r w:rsidRPr="00725248">
              <w:rPr>
                <w:color w:val="000000"/>
                <w:sz w:val="20"/>
                <w:szCs w:val="20"/>
              </w:rPr>
              <w:t>25</w:t>
            </w:r>
          </w:p>
        </w:tc>
        <w:tc>
          <w:tcPr>
            <w:tcW w:w="1048" w:type="dxa"/>
            <w:vAlign w:val="center"/>
          </w:tcPr>
          <w:p w14:paraId="0E73EFBE" w14:textId="77777777" w:rsidR="00A72F9E" w:rsidRPr="00725248" w:rsidRDefault="00A72F9E" w:rsidP="00A72F9E">
            <w:pPr>
              <w:jc w:val="center"/>
              <w:rPr>
                <w:color w:val="000000"/>
                <w:sz w:val="20"/>
                <w:szCs w:val="20"/>
              </w:rPr>
            </w:pPr>
            <w:r w:rsidRPr="00725248">
              <w:rPr>
                <w:color w:val="000000"/>
                <w:sz w:val="20"/>
                <w:szCs w:val="20"/>
              </w:rPr>
              <w:t>24</w:t>
            </w:r>
          </w:p>
        </w:tc>
        <w:tc>
          <w:tcPr>
            <w:tcW w:w="1033" w:type="dxa"/>
            <w:vAlign w:val="center"/>
          </w:tcPr>
          <w:p w14:paraId="10C0F324" w14:textId="77777777" w:rsidR="00A72F9E" w:rsidRPr="00725248" w:rsidRDefault="00A72F9E" w:rsidP="00A72F9E">
            <w:pPr>
              <w:jc w:val="center"/>
              <w:rPr>
                <w:color w:val="000000"/>
                <w:sz w:val="20"/>
                <w:szCs w:val="20"/>
              </w:rPr>
            </w:pPr>
            <w:r w:rsidRPr="00725248">
              <w:rPr>
                <w:color w:val="000000"/>
                <w:sz w:val="20"/>
                <w:szCs w:val="20"/>
              </w:rPr>
              <w:t>24</w:t>
            </w:r>
          </w:p>
        </w:tc>
        <w:tc>
          <w:tcPr>
            <w:tcW w:w="1312" w:type="dxa"/>
            <w:vAlign w:val="center"/>
          </w:tcPr>
          <w:p w14:paraId="553C5882" w14:textId="77777777" w:rsidR="00A72F9E" w:rsidRPr="00725248" w:rsidRDefault="00A72F9E" w:rsidP="00A72F9E">
            <w:pPr>
              <w:jc w:val="center"/>
              <w:rPr>
                <w:color w:val="000000"/>
                <w:sz w:val="20"/>
                <w:szCs w:val="20"/>
              </w:rPr>
            </w:pPr>
            <w:r w:rsidRPr="00725248">
              <w:rPr>
                <w:color w:val="000000"/>
                <w:sz w:val="20"/>
                <w:szCs w:val="20"/>
              </w:rPr>
              <w:t>25</w:t>
            </w:r>
          </w:p>
        </w:tc>
        <w:tc>
          <w:tcPr>
            <w:tcW w:w="909" w:type="dxa"/>
            <w:vAlign w:val="center"/>
          </w:tcPr>
          <w:p w14:paraId="071C686B" w14:textId="77777777" w:rsidR="00A72F9E" w:rsidRPr="00725248" w:rsidRDefault="00A72F9E" w:rsidP="00A72F9E">
            <w:pPr>
              <w:jc w:val="center"/>
              <w:rPr>
                <w:color w:val="000000"/>
                <w:sz w:val="20"/>
                <w:szCs w:val="20"/>
              </w:rPr>
            </w:pPr>
            <w:r w:rsidRPr="00725248">
              <w:rPr>
                <w:color w:val="000000"/>
                <w:sz w:val="20"/>
                <w:szCs w:val="20"/>
              </w:rPr>
              <w:t>20</w:t>
            </w:r>
          </w:p>
        </w:tc>
        <w:tc>
          <w:tcPr>
            <w:tcW w:w="1604" w:type="dxa"/>
            <w:vAlign w:val="center"/>
          </w:tcPr>
          <w:p w14:paraId="67DE87A4" w14:textId="77777777" w:rsidR="00A72F9E" w:rsidRPr="00DF278B" w:rsidRDefault="00A72F9E" w:rsidP="00A72F9E">
            <w:pPr>
              <w:jc w:val="center"/>
              <w:rPr>
                <w:sz w:val="20"/>
                <w:szCs w:val="20"/>
              </w:rPr>
            </w:pPr>
            <w:r w:rsidRPr="00DF278B">
              <w:rPr>
                <w:sz w:val="20"/>
                <w:szCs w:val="20"/>
              </w:rPr>
              <w:t>148</w:t>
            </w:r>
          </w:p>
        </w:tc>
      </w:tr>
      <w:tr w:rsidR="00A72F9E" w:rsidRPr="00DF278B" w14:paraId="10C614B5" w14:textId="77777777" w:rsidTr="00A72F9E">
        <w:tc>
          <w:tcPr>
            <w:tcW w:w="2088" w:type="dxa"/>
            <w:vAlign w:val="center"/>
          </w:tcPr>
          <w:p w14:paraId="1AC15EF2" w14:textId="77777777" w:rsidR="00A72F9E" w:rsidRPr="00725248" w:rsidRDefault="00A72F9E" w:rsidP="00A72F9E">
            <w:pPr>
              <w:jc w:val="center"/>
              <w:rPr>
                <w:color w:val="000000"/>
                <w:sz w:val="20"/>
                <w:szCs w:val="20"/>
              </w:rPr>
            </w:pPr>
            <w:r w:rsidRPr="00725248">
              <w:rPr>
                <w:color w:val="000000"/>
                <w:sz w:val="20"/>
                <w:szCs w:val="20"/>
              </w:rPr>
              <w:t>Students Refracted</w:t>
            </w:r>
          </w:p>
        </w:tc>
        <w:tc>
          <w:tcPr>
            <w:tcW w:w="1061" w:type="dxa"/>
            <w:vAlign w:val="center"/>
          </w:tcPr>
          <w:p w14:paraId="07642244" w14:textId="77777777" w:rsidR="00A72F9E" w:rsidRPr="00725248" w:rsidRDefault="00A72F9E" w:rsidP="00A72F9E">
            <w:pPr>
              <w:jc w:val="center"/>
              <w:rPr>
                <w:color w:val="000000"/>
                <w:sz w:val="20"/>
                <w:szCs w:val="20"/>
              </w:rPr>
            </w:pPr>
            <w:r w:rsidRPr="00725248">
              <w:rPr>
                <w:color w:val="000000"/>
                <w:sz w:val="20"/>
                <w:szCs w:val="20"/>
              </w:rPr>
              <w:t>985</w:t>
            </w:r>
          </w:p>
        </w:tc>
        <w:tc>
          <w:tcPr>
            <w:tcW w:w="750" w:type="dxa"/>
            <w:vAlign w:val="center"/>
          </w:tcPr>
          <w:p w14:paraId="27832E98" w14:textId="77777777" w:rsidR="00A72F9E" w:rsidRPr="00725248" w:rsidRDefault="00A72F9E" w:rsidP="00A72F9E">
            <w:pPr>
              <w:jc w:val="center"/>
              <w:rPr>
                <w:color w:val="000000"/>
                <w:sz w:val="20"/>
                <w:szCs w:val="20"/>
              </w:rPr>
            </w:pPr>
            <w:r w:rsidRPr="00725248">
              <w:rPr>
                <w:color w:val="000000"/>
                <w:sz w:val="20"/>
                <w:szCs w:val="20"/>
              </w:rPr>
              <w:t>417</w:t>
            </w:r>
          </w:p>
        </w:tc>
        <w:tc>
          <w:tcPr>
            <w:tcW w:w="1048" w:type="dxa"/>
            <w:vAlign w:val="center"/>
          </w:tcPr>
          <w:p w14:paraId="6E9F5748" w14:textId="77777777" w:rsidR="00A72F9E" w:rsidRPr="00725248" w:rsidRDefault="00A72F9E" w:rsidP="00A72F9E">
            <w:pPr>
              <w:jc w:val="center"/>
              <w:rPr>
                <w:color w:val="000000"/>
                <w:sz w:val="20"/>
                <w:szCs w:val="20"/>
              </w:rPr>
            </w:pPr>
            <w:r w:rsidRPr="00725248">
              <w:rPr>
                <w:color w:val="000000"/>
                <w:sz w:val="20"/>
                <w:szCs w:val="20"/>
              </w:rPr>
              <w:t>330</w:t>
            </w:r>
          </w:p>
        </w:tc>
        <w:tc>
          <w:tcPr>
            <w:tcW w:w="1033" w:type="dxa"/>
            <w:vAlign w:val="center"/>
          </w:tcPr>
          <w:p w14:paraId="71E44BBB" w14:textId="77777777" w:rsidR="00A72F9E" w:rsidRPr="00725248" w:rsidRDefault="00A72F9E" w:rsidP="00A72F9E">
            <w:pPr>
              <w:jc w:val="center"/>
              <w:rPr>
                <w:color w:val="000000"/>
                <w:sz w:val="20"/>
                <w:szCs w:val="20"/>
              </w:rPr>
            </w:pPr>
            <w:r w:rsidRPr="00725248">
              <w:rPr>
                <w:color w:val="000000"/>
                <w:sz w:val="20"/>
                <w:szCs w:val="20"/>
              </w:rPr>
              <w:t>402</w:t>
            </w:r>
          </w:p>
        </w:tc>
        <w:tc>
          <w:tcPr>
            <w:tcW w:w="1312" w:type="dxa"/>
            <w:vAlign w:val="center"/>
          </w:tcPr>
          <w:p w14:paraId="5E3A3866" w14:textId="77777777" w:rsidR="00A72F9E" w:rsidRPr="00725248" w:rsidRDefault="00A72F9E" w:rsidP="00A72F9E">
            <w:pPr>
              <w:jc w:val="center"/>
              <w:rPr>
                <w:color w:val="000000"/>
                <w:sz w:val="20"/>
                <w:szCs w:val="20"/>
              </w:rPr>
            </w:pPr>
            <w:r w:rsidRPr="00725248">
              <w:rPr>
                <w:color w:val="000000"/>
                <w:sz w:val="20"/>
                <w:szCs w:val="20"/>
              </w:rPr>
              <w:t>415</w:t>
            </w:r>
          </w:p>
        </w:tc>
        <w:tc>
          <w:tcPr>
            <w:tcW w:w="909" w:type="dxa"/>
            <w:vAlign w:val="center"/>
          </w:tcPr>
          <w:p w14:paraId="7A927772" w14:textId="77777777" w:rsidR="00A72F9E" w:rsidRPr="00725248" w:rsidRDefault="00A72F9E" w:rsidP="00A72F9E">
            <w:pPr>
              <w:jc w:val="center"/>
              <w:rPr>
                <w:color w:val="000000"/>
                <w:sz w:val="20"/>
                <w:szCs w:val="20"/>
              </w:rPr>
            </w:pPr>
            <w:r w:rsidRPr="00725248">
              <w:rPr>
                <w:color w:val="000000"/>
                <w:sz w:val="20"/>
                <w:szCs w:val="20"/>
              </w:rPr>
              <w:t>103</w:t>
            </w:r>
          </w:p>
        </w:tc>
        <w:tc>
          <w:tcPr>
            <w:tcW w:w="1604" w:type="dxa"/>
            <w:vAlign w:val="center"/>
          </w:tcPr>
          <w:p w14:paraId="5FFD3AD0" w14:textId="77777777" w:rsidR="00A72F9E" w:rsidRPr="00DF278B" w:rsidRDefault="00A72F9E" w:rsidP="00A72F9E">
            <w:pPr>
              <w:jc w:val="center"/>
              <w:rPr>
                <w:sz w:val="20"/>
                <w:szCs w:val="20"/>
              </w:rPr>
            </w:pPr>
            <w:r w:rsidRPr="00DF278B">
              <w:rPr>
                <w:sz w:val="20"/>
                <w:szCs w:val="20"/>
              </w:rPr>
              <w:t>2,652</w:t>
            </w:r>
          </w:p>
        </w:tc>
      </w:tr>
      <w:tr w:rsidR="00A72F9E" w:rsidRPr="00DF278B" w14:paraId="6F8128ED" w14:textId="77777777" w:rsidTr="00A72F9E">
        <w:tc>
          <w:tcPr>
            <w:tcW w:w="2088" w:type="dxa"/>
            <w:vAlign w:val="center"/>
          </w:tcPr>
          <w:p w14:paraId="1A1520C0" w14:textId="77777777" w:rsidR="00A72F9E" w:rsidRPr="00725248" w:rsidRDefault="00A72F9E" w:rsidP="00A72F9E">
            <w:pPr>
              <w:jc w:val="center"/>
              <w:rPr>
                <w:color w:val="000000"/>
                <w:sz w:val="20"/>
                <w:szCs w:val="20"/>
              </w:rPr>
            </w:pPr>
            <w:r w:rsidRPr="00725248">
              <w:rPr>
                <w:color w:val="000000"/>
                <w:sz w:val="20"/>
                <w:szCs w:val="20"/>
              </w:rPr>
              <w:t>Loss to Follow-Up (%)</w:t>
            </w:r>
          </w:p>
        </w:tc>
        <w:tc>
          <w:tcPr>
            <w:tcW w:w="1061" w:type="dxa"/>
            <w:vAlign w:val="center"/>
          </w:tcPr>
          <w:p w14:paraId="379613AF" w14:textId="77777777" w:rsidR="00A72F9E" w:rsidRPr="00725248" w:rsidRDefault="00A72F9E" w:rsidP="00A72F9E">
            <w:pPr>
              <w:jc w:val="center"/>
              <w:rPr>
                <w:color w:val="000000"/>
                <w:sz w:val="20"/>
                <w:szCs w:val="20"/>
              </w:rPr>
            </w:pPr>
            <w:r w:rsidRPr="00725248">
              <w:rPr>
                <w:color w:val="000000"/>
                <w:sz w:val="20"/>
                <w:szCs w:val="20"/>
              </w:rPr>
              <w:t>27.7%</w:t>
            </w:r>
          </w:p>
        </w:tc>
        <w:tc>
          <w:tcPr>
            <w:tcW w:w="750" w:type="dxa"/>
            <w:vAlign w:val="center"/>
          </w:tcPr>
          <w:p w14:paraId="137DE151" w14:textId="77777777" w:rsidR="00A72F9E" w:rsidRPr="00725248" w:rsidRDefault="00A72F9E" w:rsidP="00A72F9E">
            <w:pPr>
              <w:jc w:val="center"/>
              <w:rPr>
                <w:color w:val="000000"/>
                <w:sz w:val="20"/>
                <w:szCs w:val="20"/>
              </w:rPr>
            </w:pPr>
            <w:r w:rsidRPr="00725248">
              <w:rPr>
                <w:color w:val="000000"/>
                <w:sz w:val="20"/>
                <w:szCs w:val="20"/>
              </w:rPr>
              <w:t>49.5%</w:t>
            </w:r>
          </w:p>
        </w:tc>
        <w:tc>
          <w:tcPr>
            <w:tcW w:w="1048" w:type="dxa"/>
            <w:vAlign w:val="center"/>
          </w:tcPr>
          <w:p w14:paraId="5F399181" w14:textId="77777777" w:rsidR="00A72F9E" w:rsidRPr="00725248" w:rsidRDefault="00A72F9E" w:rsidP="00A72F9E">
            <w:pPr>
              <w:jc w:val="center"/>
              <w:rPr>
                <w:color w:val="000000"/>
                <w:sz w:val="20"/>
                <w:szCs w:val="20"/>
              </w:rPr>
            </w:pPr>
            <w:r w:rsidRPr="00725248">
              <w:rPr>
                <w:color w:val="000000"/>
                <w:sz w:val="20"/>
                <w:szCs w:val="20"/>
              </w:rPr>
              <w:t>34.7%</w:t>
            </w:r>
          </w:p>
        </w:tc>
        <w:tc>
          <w:tcPr>
            <w:tcW w:w="1033" w:type="dxa"/>
            <w:vAlign w:val="center"/>
          </w:tcPr>
          <w:p w14:paraId="3E8FDABB" w14:textId="77777777" w:rsidR="00A72F9E" w:rsidRPr="00725248" w:rsidRDefault="00A72F9E" w:rsidP="00A72F9E">
            <w:pPr>
              <w:jc w:val="center"/>
              <w:rPr>
                <w:color w:val="000000"/>
                <w:sz w:val="20"/>
                <w:szCs w:val="20"/>
              </w:rPr>
            </w:pPr>
            <w:r w:rsidRPr="00725248">
              <w:rPr>
                <w:color w:val="000000"/>
                <w:sz w:val="20"/>
                <w:szCs w:val="20"/>
              </w:rPr>
              <w:t>37.8%</w:t>
            </w:r>
          </w:p>
        </w:tc>
        <w:tc>
          <w:tcPr>
            <w:tcW w:w="1312" w:type="dxa"/>
            <w:vAlign w:val="center"/>
          </w:tcPr>
          <w:p w14:paraId="2FC6FBBF" w14:textId="77777777" w:rsidR="00A72F9E" w:rsidRPr="00725248" w:rsidRDefault="00A72F9E" w:rsidP="00A72F9E">
            <w:pPr>
              <w:jc w:val="center"/>
              <w:rPr>
                <w:color w:val="000000"/>
                <w:sz w:val="20"/>
                <w:szCs w:val="20"/>
              </w:rPr>
            </w:pPr>
            <w:r w:rsidRPr="00725248">
              <w:rPr>
                <w:color w:val="000000"/>
                <w:sz w:val="20"/>
                <w:szCs w:val="20"/>
              </w:rPr>
              <w:t>50.4%</w:t>
            </w:r>
          </w:p>
        </w:tc>
        <w:tc>
          <w:tcPr>
            <w:tcW w:w="909" w:type="dxa"/>
            <w:vAlign w:val="center"/>
          </w:tcPr>
          <w:p w14:paraId="7FB4909F" w14:textId="77777777" w:rsidR="00A72F9E" w:rsidRPr="00725248" w:rsidRDefault="00A72F9E" w:rsidP="00A72F9E">
            <w:pPr>
              <w:jc w:val="center"/>
              <w:rPr>
                <w:color w:val="000000"/>
                <w:sz w:val="20"/>
                <w:szCs w:val="20"/>
              </w:rPr>
            </w:pPr>
            <w:r w:rsidRPr="00725248">
              <w:rPr>
                <w:color w:val="000000"/>
                <w:sz w:val="20"/>
                <w:szCs w:val="20"/>
              </w:rPr>
              <w:t>68.7%</w:t>
            </w:r>
          </w:p>
        </w:tc>
        <w:tc>
          <w:tcPr>
            <w:tcW w:w="1604" w:type="dxa"/>
            <w:vAlign w:val="center"/>
          </w:tcPr>
          <w:p w14:paraId="4D1D137B" w14:textId="77777777" w:rsidR="00A72F9E" w:rsidRPr="00DF278B" w:rsidRDefault="00A72F9E" w:rsidP="00A72F9E">
            <w:pPr>
              <w:jc w:val="center"/>
              <w:rPr>
                <w:sz w:val="20"/>
                <w:szCs w:val="20"/>
              </w:rPr>
            </w:pPr>
            <w:r w:rsidRPr="00DF278B">
              <w:rPr>
                <w:sz w:val="20"/>
                <w:szCs w:val="20"/>
              </w:rPr>
              <w:t>41.1%</w:t>
            </w:r>
          </w:p>
        </w:tc>
      </w:tr>
      <w:tr w:rsidR="00A72F9E" w:rsidRPr="00DF278B" w14:paraId="21E8B93A" w14:textId="77777777" w:rsidTr="00A72F9E">
        <w:tc>
          <w:tcPr>
            <w:tcW w:w="2088" w:type="dxa"/>
            <w:vAlign w:val="center"/>
          </w:tcPr>
          <w:p w14:paraId="490C04BB" w14:textId="77777777" w:rsidR="00A72F9E" w:rsidRPr="00725248" w:rsidRDefault="00A72F9E" w:rsidP="00A72F9E">
            <w:pPr>
              <w:jc w:val="center"/>
              <w:rPr>
                <w:color w:val="000000"/>
                <w:sz w:val="20"/>
                <w:szCs w:val="20"/>
              </w:rPr>
            </w:pPr>
            <w:r w:rsidRPr="00725248">
              <w:rPr>
                <w:color w:val="000000"/>
                <w:sz w:val="20"/>
                <w:szCs w:val="20"/>
              </w:rPr>
              <w:t>Schools Receiving Refraction + Glasses</w:t>
            </w:r>
          </w:p>
        </w:tc>
        <w:tc>
          <w:tcPr>
            <w:tcW w:w="1061" w:type="dxa"/>
            <w:vAlign w:val="center"/>
          </w:tcPr>
          <w:p w14:paraId="6D1E64DB" w14:textId="77777777" w:rsidR="00A72F9E" w:rsidRPr="00725248" w:rsidRDefault="00A72F9E" w:rsidP="00A72F9E">
            <w:pPr>
              <w:jc w:val="center"/>
              <w:rPr>
                <w:color w:val="000000"/>
                <w:sz w:val="20"/>
                <w:szCs w:val="20"/>
              </w:rPr>
            </w:pPr>
            <w:r w:rsidRPr="00725248">
              <w:rPr>
                <w:color w:val="000000"/>
                <w:sz w:val="20"/>
                <w:szCs w:val="20"/>
              </w:rPr>
              <w:t>30</w:t>
            </w:r>
          </w:p>
        </w:tc>
        <w:tc>
          <w:tcPr>
            <w:tcW w:w="750" w:type="dxa"/>
            <w:vAlign w:val="center"/>
          </w:tcPr>
          <w:p w14:paraId="4210071E" w14:textId="77777777" w:rsidR="00A72F9E" w:rsidRPr="00725248" w:rsidRDefault="00A72F9E" w:rsidP="00A72F9E">
            <w:pPr>
              <w:jc w:val="center"/>
              <w:rPr>
                <w:color w:val="000000"/>
                <w:sz w:val="20"/>
                <w:szCs w:val="20"/>
              </w:rPr>
            </w:pPr>
            <w:r w:rsidRPr="00725248">
              <w:rPr>
                <w:color w:val="000000"/>
                <w:sz w:val="20"/>
                <w:szCs w:val="20"/>
              </w:rPr>
              <w:t>24</w:t>
            </w:r>
          </w:p>
        </w:tc>
        <w:tc>
          <w:tcPr>
            <w:tcW w:w="1048" w:type="dxa"/>
            <w:vAlign w:val="center"/>
          </w:tcPr>
          <w:p w14:paraId="7BEDD08D" w14:textId="77777777" w:rsidR="00A72F9E" w:rsidRPr="00725248" w:rsidRDefault="00A72F9E" w:rsidP="00A72F9E">
            <w:pPr>
              <w:jc w:val="center"/>
              <w:rPr>
                <w:color w:val="000000"/>
                <w:sz w:val="20"/>
                <w:szCs w:val="20"/>
              </w:rPr>
            </w:pPr>
            <w:r w:rsidRPr="00725248">
              <w:rPr>
                <w:color w:val="000000"/>
                <w:sz w:val="20"/>
                <w:szCs w:val="20"/>
              </w:rPr>
              <w:t>24</w:t>
            </w:r>
          </w:p>
        </w:tc>
        <w:tc>
          <w:tcPr>
            <w:tcW w:w="1033" w:type="dxa"/>
            <w:vAlign w:val="center"/>
          </w:tcPr>
          <w:p w14:paraId="6D66BC70" w14:textId="77777777" w:rsidR="00A72F9E" w:rsidRPr="00725248" w:rsidRDefault="00A72F9E" w:rsidP="00A72F9E">
            <w:pPr>
              <w:jc w:val="center"/>
              <w:rPr>
                <w:color w:val="000000"/>
                <w:sz w:val="20"/>
                <w:szCs w:val="20"/>
              </w:rPr>
            </w:pPr>
            <w:r w:rsidRPr="00725248">
              <w:rPr>
                <w:color w:val="000000"/>
                <w:sz w:val="20"/>
                <w:szCs w:val="20"/>
              </w:rPr>
              <w:t>24</w:t>
            </w:r>
          </w:p>
        </w:tc>
        <w:tc>
          <w:tcPr>
            <w:tcW w:w="1312" w:type="dxa"/>
            <w:vAlign w:val="center"/>
          </w:tcPr>
          <w:p w14:paraId="19580169" w14:textId="77777777" w:rsidR="00A72F9E" w:rsidRPr="00725248" w:rsidRDefault="00A72F9E" w:rsidP="00A72F9E">
            <w:pPr>
              <w:jc w:val="center"/>
              <w:rPr>
                <w:color w:val="000000"/>
                <w:sz w:val="20"/>
                <w:szCs w:val="20"/>
              </w:rPr>
            </w:pPr>
            <w:r w:rsidRPr="00725248">
              <w:rPr>
                <w:color w:val="000000"/>
                <w:sz w:val="20"/>
                <w:szCs w:val="20"/>
              </w:rPr>
              <w:t>24</w:t>
            </w:r>
          </w:p>
        </w:tc>
        <w:tc>
          <w:tcPr>
            <w:tcW w:w="909" w:type="dxa"/>
            <w:vAlign w:val="center"/>
          </w:tcPr>
          <w:p w14:paraId="603AE233" w14:textId="77777777" w:rsidR="00A72F9E" w:rsidRPr="00725248" w:rsidRDefault="00A72F9E" w:rsidP="00A72F9E">
            <w:pPr>
              <w:jc w:val="center"/>
              <w:rPr>
                <w:color w:val="000000"/>
                <w:sz w:val="20"/>
                <w:szCs w:val="20"/>
              </w:rPr>
            </w:pPr>
            <w:r w:rsidRPr="00725248">
              <w:rPr>
                <w:color w:val="000000"/>
                <w:sz w:val="20"/>
                <w:szCs w:val="20"/>
              </w:rPr>
              <w:t>19</w:t>
            </w:r>
          </w:p>
        </w:tc>
        <w:tc>
          <w:tcPr>
            <w:tcW w:w="1604" w:type="dxa"/>
            <w:vAlign w:val="center"/>
          </w:tcPr>
          <w:p w14:paraId="4E049C30" w14:textId="77777777" w:rsidR="00A72F9E" w:rsidRPr="00DF278B" w:rsidRDefault="00A72F9E" w:rsidP="00A72F9E">
            <w:pPr>
              <w:jc w:val="center"/>
              <w:rPr>
                <w:sz w:val="20"/>
                <w:szCs w:val="20"/>
              </w:rPr>
            </w:pPr>
            <w:r w:rsidRPr="00DF278B">
              <w:rPr>
                <w:sz w:val="20"/>
                <w:szCs w:val="20"/>
              </w:rPr>
              <w:t>145</w:t>
            </w:r>
          </w:p>
        </w:tc>
      </w:tr>
      <w:tr w:rsidR="00A72F9E" w:rsidRPr="00DF278B" w14:paraId="2D467EDC" w14:textId="77777777" w:rsidTr="00A72F9E">
        <w:tc>
          <w:tcPr>
            <w:tcW w:w="2088" w:type="dxa"/>
            <w:vAlign w:val="center"/>
          </w:tcPr>
          <w:p w14:paraId="7816AD19" w14:textId="77777777" w:rsidR="00A72F9E" w:rsidRPr="00725248" w:rsidRDefault="00A72F9E" w:rsidP="00A72F9E">
            <w:pPr>
              <w:jc w:val="center"/>
              <w:rPr>
                <w:color w:val="000000"/>
                <w:sz w:val="20"/>
                <w:szCs w:val="20"/>
              </w:rPr>
            </w:pPr>
            <w:r w:rsidRPr="00725248">
              <w:rPr>
                <w:color w:val="000000"/>
                <w:sz w:val="20"/>
                <w:szCs w:val="20"/>
              </w:rPr>
              <w:t>Students Receiving Refraction + Glasses</w:t>
            </w:r>
          </w:p>
        </w:tc>
        <w:tc>
          <w:tcPr>
            <w:tcW w:w="1061" w:type="dxa"/>
            <w:vAlign w:val="center"/>
          </w:tcPr>
          <w:p w14:paraId="18FB9FC8" w14:textId="77777777" w:rsidR="00A72F9E" w:rsidRPr="00725248" w:rsidRDefault="00A72F9E" w:rsidP="00A72F9E">
            <w:pPr>
              <w:jc w:val="center"/>
              <w:rPr>
                <w:color w:val="000000"/>
                <w:sz w:val="20"/>
                <w:szCs w:val="20"/>
              </w:rPr>
            </w:pPr>
            <w:r w:rsidRPr="00725248">
              <w:rPr>
                <w:color w:val="000000"/>
                <w:sz w:val="20"/>
                <w:szCs w:val="20"/>
              </w:rPr>
              <w:t>770</w:t>
            </w:r>
          </w:p>
        </w:tc>
        <w:tc>
          <w:tcPr>
            <w:tcW w:w="750" w:type="dxa"/>
            <w:vAlign w:val="center"/>
          </w:tcPr>
          <w:p w14:paraId="082D6D56" w14:textId="77777777" w:rsidR="00A72F9E" w:rsidRPr="00725248" w:rsidRDefault="00A72F9E" w:rsidP="00A72F9E">
            <w:pPr>
              <w:jc w:val="center"/>
              <w:rPr>
                <w:color w:val="000000"/>
                <w:sz w:val="20"/>
                <w:szCs w:val="20"/>
              </w:rPr>
            </w:pPr>
            <w:r w:rsidRPr="00725248">
              <w:rPr>
                <w:color w:val="000000"/>
                <w:sz w:val="20"/>
                <w:szCs w:val="20"/>
              </w:rPr>
              <w:t>230</w:t>
            </w:r>
          </w:p>
        </w:tc>
        <w:tc>
          <w:tcPr>
            <w:tcW w:w="1048" w:type="dxa"/>
            <w:vAlign w:val="center"/>
          </w:tcPr>
          <w:p w14:paraId="51C84020" w14:textId="77777777" w:rsidR="00A72F9E" w:rsidRPr="00725248" w:rsidRDefault="00A72F9E" w:rsidP="00A72F9E">
            <w:pPr>
              <w:jc w:val="center"/>
              <w:rPr>
                <w:color w:val="000000"/>
                <w:sz w:val="20"/>
                <w:szCs w:val="20"/>
              </w:rPr>
            </w:pPr>
            <w:r w:rsidRPr="00725248">
              <w:rPr>
                <w:color w:val="000000"/>
                <w:sz w:val="20"/>
                <w:szCs w:val="20"/>
              </w:rPr>
              <w:t>275</w:t>
            </w:r>
          </w:p>
        </w:tc>
        <w:tc>
          <w:tcPr>
            <w:tcW w:w="1033" w:type="dxa"/>
            <w:vAlign w:val="center"/>
          </w:tcPr>
          <w:p w14:paraId="0A50FB32" w14:textId="77777777" w:rsidR="00A72F9E" w:rsidRPr="00725248" w:rsidRDefault="00A72F9E" w:rsidP="00A72F9E">
            <w:pPr>
              <w:jc w:val="center"/>
              <w:rPr>
                <w:color w:val="000000"/>
                <w:sz w:val="20"/>
                <w:szCs w:val="20"/>
              </w:rPr>
            </w:pPr>
            <w:r w:rsidRPr="00725248">
              <w:rPr>
                <w:color w:val="000000"/>
                <w:sz w:val="20"/>
                <w:szCs w:val="20"/>
              </w:rPr>
              <w:t>340</w:t>
            </w:r>
          </w:p>
        </w:tc>
        <w:tc>
          <w:tcPr>
            <w:tcW w:w="1312" w:type="dxa"/>
            <w:vAlign w:val="center"/>
          </w:tcPr>
          <w:p w14:paraId="5FC17265" w14:textId="77777777" w:rsidR="00A72F9E" w:rsidRPr="00725248" w:rsidRDefault="00A72F9E" w:rsidP="00A72F9E">
            <w:pPr>
              <w:jc w:val="center"/>
              <w:rPr>
                <w:color w:val="000000"/>
                <w:sz w:val="20"/>
                <w:szCs w:val="20"/>
              </w:rPr>
            </w:pPr>
            <w:r w:rsidRPr="00725248">
              <w:rPr>
                <w:color w:val="000000"/>
                <w:sz w:val="20"/>
                <w:szCs w:val="20"/>
              </w:rPr>
              <w:t>336</w:t>
            </w:r>
          </w:p>
        </w:tc>
        <w:tc>
          <w:tcPr>
            <w:tcW w:w="909" w:type="dxa"/>
            <w:vAlign w:val="center"/>
          </w:tcPr>
          <w:p w14:paraId="1B4E869A" w14:textId="77777777" w:rsidR="00A72F9E" w:rsidRPr="00725248" w:rsidRDefault="00A72F9E" w:rsidP="00A72F9E">
            <w:pPr>
              <w:jc w:val="center"/>
              <w:rPr>
                <w:color w:val="000000"/>
                <w:sz w:val="20"/>
                <w:szCs w:val="20"/>
              </w:rPr>
            </w:pPr>
            <w:r w:rsidRPr="00725248">
              <w:rPr>
                <w:color w:val="000000"/>
                <w:sz w:val="20"/>
                <w:szCs w:val="20"/>
              </w:rPr>
              <w:t>87</w:t>
            </w:r>
          </w:p>
        </w:tc>
        <w:tc>
          <w:tcPr>
            <w:tcW w:w="1604" w:type="dxa"/>
            <w:tcBorders>
              <w:bottom w:val="single" w:sz="4" w:space="0" w:color="auto"/>
            </w:tcBorders>
            <w:vAlign w:val="center"/>
          </w:tcPr>
          <w:p w14:paraId="2E8E89BA" w14:textId="77777777" w:rsidR="00A72F9E" w:rsidRPr="00DF278B" w:rsidRDefault="00A72F9E" w:rsidP="00A72F9E">
            <w:pPr>
              <w:jc w:val="center"/>
              <w:rPr>
                <w:sz w:val="20"/>
                <w:szCs w:val="20"/>
              </w:rPr>
            </w:pPr>
            <w:r w:rsidRPr="00DF278B">
              <w:rPr>
                <w:sz w:val="20"/>
                <w:szCs w:val="20"/>
              </w:rPr>
              <w:t>2,038</w:t>
            </w:r>
          </w:p>
        </w:tc>
      </w:tr>
      <w:tr w:rsidR="00A72F9E" w:rsidRPr="00DF278B" w14:paraId="23EF585F" w14:textId="77777777" w:rsidTr="00A72F9E">
        <w:tc>
          <w:tcPr>
            <w:tcW w:w="2088" w:type="dxa"/>
            <w:vAlign w:val="bottom"/>
          </w:tcPr>
          <w:p w14:paraId="047D930B" w14:textId="77777777" w:rsidR="00A72F9E" w:rsidRPr="00725248" w:rsidRDefault="00A72F9E" w:rsidP="00A72F9E">
            <w:pPr>
              <w:jc w:val="center"/>
              <w:rPr>
                <w:b/>
                <w:bCs/>
                <w:i/>
                <w:iCs/>
                <w:color w:val="000000"/>
                <w:sz w:val="20"/>
                <w:szCs w:val="20"/>
              </w:rPr>
            </w:pPr>
            <w:r w:rsidRPr="00725248">
              <w:rPr>
                <w:b/>
                <w:bCs/>
                <w:i/>
                <w:iCs/>
                <w:color w:val="000000"/>
                <w:sz w:val="20"/>
                <w:szCs w:val="20"/>
              </w:rPr>
              <w:t>% share of fixed costs</w:t>
            </w:r>
          </w:p>
        </w:tc>
        <w:tc>
          <w:tcPr>
            <w:tcW w:w="1061" w:type="dxa"/>
            <w:vAlign w:val="bottom"/>
          </w:tcPr>
          <w:p w14:paraId="607ECDA8" w14:textId="77777777" w:rsidR="00A72F9E" w:rsidRPr="00725248" w:rsidRDefault="00A72F9E" w:rsidP="00A72F9E">
            <w:pPr>
              <w:jc w:val="center"/>
              <w:rPr>
                <w:b/>
                <w:bCs/>
                <w:i/>
                <w:iCs/>
                <w:color w:val="000000"/>
                <w:sz w:val="20"/>
                <w:szCs w:val="20"/>
              </w:rPr>
            </w:pPr>
            <w:r w:rsidRPr="00725248">
              <w:rPr>
                <w:b/>
                <w:bCs/>
                <w:i/>
                <w:iCs/>
                <w:color w:val="000000"/>
                <w:sz w:val="20"/>
                <w:szCs w:val="20"/>
              </w:rPr>
              <w:t>20%</w:t>
            </w:r>
          </w:p>
        </w:tc>
        <w:tc>
          <w:tcPr>
            <w:tcW w:w="750" w:type="dxa"/>
            <w:vAlign w:val="bottom"/>
          </w:tcPr>
          <w:p w14:paraId="7BA49CDD" w14:textId="77777777" w:rsidR="00A72F9E" w:rsidRPr="00725248" w:rsidRDefault="00A72F9E" w:rsidP="00A72F9E">
            <w:pPr>
              <w:jc w:val="center"/>
              <w:rPr>
                <w:b/>
                <w:bCs/>
                <w:i/>
                <w:iCs/>
                <w:color w:val="000000"/>
                <w:sz w:val="20"/>
                <w:szCs w:val="20"/>
              </w:rPr>
            </w:pPr>
            <w:r w:rsidRPr="00725248">
              <w:rPr>
                <w:b/>
                <w:bCs/>
                <w:i/>
                <w:iCs/>
                <w:color w:val="000000"/>
                <w:sz w:val="20"/>
                <w:szCs w:val="20"/>
              </w:rPr>
              <w:t>17%</w:t>
            </w:r>
          </w:p>
        </w:tc>
        <w:tc>
          <w:tcPr>
            <w:tcW w:w="1048" w:type="dxa"/>
            <w:vAlign w:val="bottom"/>
          </w:tcPr>
          <w:p w14:paraId="7522CDA2" w14:textId="77777777" w:rsidR="00A72F9E" w:rsidRPr="00725248" w:rsidRDefault="00A72F9E" w:rsidP="00A72F9E">
            <w:pPr>
              <w:jc w:val="center"/>
              <w:rPr>
                <w:b/>
                <w:bCs/>
                <w:i/>
                <w:iCs/>
                <w:color w:val="000000"/>
                <w:sz w:val="20"/>
                <w:szCs w:val="20"/>
              </w:rPr>
            </w:pPr>
            <w:r w:rsidRPr="00725248">
              <w:rPr>
                <w:b/>
                <w:bCs/>
                <w:i/>
                <w:iCs/>
                <w:color w:val="000000"/>
                <w:sz w:val="20"/>
                <w:szCs w:val="20"/>
              </w:rPr>
              <w:t>13%</w:t>
            </w:r>
          </w:p>
        </w:tc>
        <w:tc>
          <w:tcPr>
            <w:tcW w:w="1033" w:type="dxa"/>
            <w:vAlign w:val="bottom"/>
          </w:tcPr>
          <w:p w14:paraId="5337A9B9" w14:textId="77777777" w:rsidR="00A72F9E" w:rsidRPr="00725248" w:rsidRDefault="00A72F9E" w:rsidP="00A72F9E">
            <w:pPr>
              <w:jc w:val="center"/>
              <w:rPr>
                <w:b/>
                <w:bCs/>
                <w:i/>
                <w:iCs/>
                <w:color w:val="000000"/>
                <w:sz w:val="20"/>
                <w:szCs w:val="20"/>
              </w:rPr>
            </w:pPr>
            <w:r w:rsidRPr="00725248">
              <w:rPr>
                <w:b/>
                <w:bCs/>
                <w:i/>
                <w:iCs/>
                <w:color w:val="000000"/>
                <w:sz w:val="20"/>
                <w:szCs w:val="20"/>
              </w:rPr>
              <w:t>12%</w:t>
            </w:r>
          </w:p>
        </w:tc>
        <w:tc>
          <w:tcPr>
            <w:tcW w:w="1312" w:type="dxa"/>
            <w:vAlign w:val="bottom"/>
          </w:tcPr>
          <w:p w14:paraId="19771160" w14:textId="77777777" w:rsidR="00A72F9E" w:rsidRPr="00725248" w:rsidRDefault="00A72F9E" w:rsidP="00A72F9E">
            <w:pPr>
              <w:jc w:val="center"/>
              <w:rPr>
                <w:b/>
                <w:bCs/>
                <w:i/>
                <w:iCs/>
                <w:color w:val="000000"/>
                <w:sz w:val="20"/>
                <w:szCs w:val="20"/>
              </w:rPr>
            </w:pPr>
            <w:r w:rsidRPr="00725248">
              <w:rPr>
                <w:b/>
                <w:bCs/>
                <w:i/>
                <w:iCs/>
                <w:color w:val="000000"/>
                <w:sz w:val="20"/>
                <w:szCs w:val="20"/>
              </w:rPr>
              <w:t>18%</w:t>
            </w:r>
          </w:p>
        </w:tc>
        <w:tc>
          <w:tcPr>
            <w:tcW w:w="909" w:type="dxa"/>
            <w:vAlign w:val="bottom"/>
          </w:tcPr>
          <w:p w14:paraId="07E24A53" w14:textId="77777777" w:rsidR="00A72F9E" w:rsidRPr="00725248" w:rsidRDefault="00A72F9E" w:rsidP="00A72F9E">
            <w:pPr>
              <w:jc w:val="center"/>
              <w:rPr>
                <w:b/>
                <w:bCs/>
                <w:i/>
                <w:iCs/>
                <w:color w:val="000000"/>
                <w:sz w:val="20"/>
                <w:szCs w:val="20"/>
              </w:rPr>
            </w:pPr>
            <w:r w:rsidRPr="00725248">
              <w:rPr>
                <w:b/>
                <w:bCs/>
                <w:i/>
                <w:iCs/>
                <w:color w:val="000000"/>
                <w:sz w:val="20"/>
                <w:szCs w:val="20"/>
              </w:rPr>
              <w:t>19%</w:t>
            </w:r>
          </w:p>
        </w:tc>
        <w:tc>
          <w:tcPr>
            <w:tcW w:w="1604" w:type="dxa"/>
            <w:tcBorders>
              <w:bottom w:val="nil"/>
              <w:right w:val="nil"/>
            </w:tcBorders>
            <w:vAlign w:val="bottom"/>
          </w:tcPr>
          <w:p w14:paraId="0F49F958" w14:textId="77777777" w:rsidR="00A72F9E" w:rsidRPr="00DF278B" w:rsidRDefault="00A72F9E" w:rsidP="00A72F9E">
            <w:pPr>
              <w:jc w:val="center"/>
              <w:rPr>
                <w:sz w:val="22"/>
                <w:szCs w:val="22"/>
              </w:rPr>
            </w:pPr>
          </w:p>
        </w:tc>
      </w:tr>
    </w:tbl>
    <w:p w14:paraId="798D6083" w14:textId="77777777" w:rsidR="00A72F9E" w:rsidRDefault="00A72F9E" w:rsidP="00DB3309">
      <w:pPr>
        <w:rPr>
          <w:b/>
          <w:bCs/>
        </w:rPr>
      </w:pPr>
    </w:p>
    <w:p w14:paraId="4C10302F" w14:textId="70A4B3A9" w:rsidR="00DB3309" w:rsidRDefault="00DB3309" w:rsidP="00DB3309">
      <w:pPr>
        <w:rPr>
          <w:b/>
          <w:bCs/>
        </w:rPr>
      </w:pPr>
      <w:r w:rsidRPr="00DF278B">
        <w:rPr>
          <w:b/>
          <w:bCs/>
        </w:rPr>
        <w:t>Table 2a: District-Level Total Costs, by Program Initiative</w:t>
      </w:r>
    </w:p>
    <w:p w14:paraId="7FECA29E" w14:textId="77777777" w:rsidR="00BD5051" w:rsidRPr="00DF278B" w:rsidRDefault="00BD5051" w:rsidP="00DB3309"/>
    <w:tbl>
      <w:tblPr>
        <w:tblStyle w:val="TableGrid"/>
        <w:tblW w:w="10127" w:type="dxa"/>
        <w:tblInd w:w="-5" w:type="dxa"/>
        <w:tblLayout w:type="fixed"/>
        <w:tblLook w:val="04A0" w:firstRow="1" w:lastRow="0" w:firstColumn="1" w:lastColumn="0" w:noHBand="0" w:noVBand="1"/>
      </w:tblPr>
      <w:tblGrid>
        <w:gridCol w:w="1319"/>
        <w:gridCol w:w="1229"/>
        <w:gridCol w:w="1231"/>
        <w:gridCol w:w="1242"/>
        <w:gridCol w:w="1242"/>
        <w:gridCol w:w="1242"/>
        <w:gridCol w:w="1242"/>
        <w:gridCol w:w="1380"/>
      </w:tblGrid>
      <w:tr w:rsidR="0011488B" w:rsidRPr="00DF278B" w14:paraId="0F82D494" w14:textId="77777777" w:rsidTr="00441B90">
        <w:tc>
          <w:tcPr>
            <w:tcW w:w="1319" w:type="dxa"/>
            <w:tcBorders>
              <w:top w:val="nil"/>
              <w:left w:val="nil"/>
            </w:tcBorders>
            <w:vAlign w:val="center"/>
          </w:tcPr>
          <w:p w14:paraId="38BF2C4F" w14:textId="77777777" w:rsidR="0011488B" w:rsidRPr="00725248" w:rsidRDefault="0011488B" w:rsidP="0011488B">
            <w:pPr>
              <w:jc w:val="center"/>
              <w:rPr>
                <w:b/>
                <w:bCs/>
                <w:color w:val="000000"/>
                <w:sz w:val="20"/>
                <w:szCs w:val="20"/>
              </w:rPr>
            </w:pPr>
          </w:p>
        </w:tc>
        <w:tc>
          <w:tcPr>
            <w:tcW w:w="4944" w:type="dxa"/>
            <w:gridSpan w:val="4"/>
            <w:shd w:val="clear" w:color="auto" w:fill="D9D9D9" w:themeFill="background1" w:themeFillShade="D9"/>
            <w:vAlign w:val="center"/>
          </w:tcPr>
          <w:p w14:paraId="3C722FF9" w14:textId="4BCE4B5D" w:rsidR="0011488B" w:rsidRPr="00725248" w:rsidRDefault="0011488B" w:rsidP="0011488B">
            <w:pPr>
              <w:jc w:val="center"/>
              <w:rPr>
                <w:b/>
                <w:bCs/>
                <w:color w:val="000000"/>
                <w:sz w:val="20"/>
                <w:szCs w:val="20"/>
              </w:rPr>
            </w:pPr>
            <w:r w:rsidRPr="00725248">
              <w:rPr>
                <w:b/>
                <w:bCs/>
                <w:color w:val="000000"/>
                <w:sz w:val="20"/>
                <w:szCs w:val="20"/>
              </w:rPr>
              <w:t>School-Based Refraction</w:t>
            </w:r>
          </w:p>
        </w:tc>
        <w:tc>
          <w:tcPr>
            <w:tcW w:w="2484" w:type="dxa"/>
            <w:gridSpan w:val="2"/>
            <w:shd w:val="clear" w:color="auto" w:fill="D9D9D9" w:themeFill="background1" w:themeFillShade="D9"/>
            <w:vAlign w:val="center"/>
          </w:tcPr>
          <w:p w14:paraId="42435A25" w14:textId="7F4B0E5D" w:rsidR="0011488B" w:rsidRPr="00725248" w:rsidRDefault="0011488B" w:rsidP="0011488B">
            <w:pPr>
              <w:jc w:val="center"/>
              <w:rPr>
                <w:b/>
                <w:bCs/>
                <w:color w:val="000000"/>
                <w:sz w:val="20"/>
                <w:szCs w:val="20"/>
              </w:rPr>
            </w:pPr>
            <w:r w:rsidRPr="00725248">
              <w:rPr>
                <w:b/>
                <w:bCs/>
                <w:color w:val="000000"/>
                <w:sz w:val="20"/>
                <w:szCs w:val="20"/>
              </w:rPr>
              <w:t>Central Refraction</w:t>
            </w:r>
          </w:p>
        </w:tc>
        <w:tc>
          <w:tcPr>
            <w:tcW w:w="1380" w:type="dxa"/>
            <w:tcBorders>
              <w:top w:val="nil"/>
              <w:right w:val="nil"/>
            </w:tcBorders>
            <w:vAlign w:val="center"/>
          </w:tcPr>
          <w:p w14:paraId="2CE6060C" w14:textId="77777777" w:rsidR="0011488B" w:rsidRPr="00725248" w:rsidRDefault="0011488B" w:rsidP="0011488B">
            <w:pPr>
              <w:jc w:val="center"/>
              <w:rPr>
                <w:b/>
                <w:bCs/>
                <w:color w:val="000000"/>
                <w:sz w:val="20"/>
                <w:szCs w:val="20"/>
              </w:rPr>
            </w:pPr>
          </w:p>
        </w:tc>
      </w:tr>
      <w:tr w:rsidR="0011488B" w:rsidRPr="00DF278B" w14:paraId="633E0865" w14:textId="77777777" w:rsidTr="00441B90">
        <w:tc>
          <w:tcPr>
            <w:tcW w:w="1319" w:type="dxa"/>
            <w:shd w:val="clear" w:color="auto" w:fill="D9D9D9" w:themeFill="background1" w:themeFillShade="D9"/>
            <w:vAlign w:val="center"/>
          </w:tcPr>
          <w:p w14:paraId="2415501F" w14:textId="77777777" w:rsidR="0011488B" w:rsidRPr="00725248" w:rsidRDefault="0011488B" w:rsidP="0011488B">
            <w:pPr>
              <w:jc w:val="center"/>
              <w:rPr>
                <w:b/>
                <w:bCs/>
                <w:color w:val="000000"/>
                <w:sz w:val="20"/>
                <w:szCs w:val="20"/>
              </w:rPr>
            </w:pPr>
            <w:r w:rsidRPr="00725248">
              <w:rPr>
                <w:b/>
                <w:bCs/>
                <w:color w:val="000000"/>
                <w:sz w:val="20"/>
                <w:szCs w:val="20"/>
              </w:rPr>
              <w:t>Program Initiative</w:t>
            </w:r>
          </w:p>
        </w:tc>
        <w:tc>
          <w:tcPr>
            <w:tcW w:w="1229" w:type="dxa"/>
            <w:shd w:val="clear" w:color="auto" w:fill="D9D9D9" w:themeFill="background1" w:themeFillShade="D9"/>
            <w:vAlign w:val="center"/>
          </w:tcPr>
          <w:p w14:paraId="60AF6EF4" w14:textId="77777777" w:rsidR="0011488B" w:rsidRPr="00725248" w:rsidRDefault="0011488B" w:rsidP="0011488B">
            <w:pPr>
              <w:jc w:val="center"/>
              <w:rPr>
                <w:b/>
                <w:bCs/>
                <w:color w:val="000000"/>
                <w:sz w:val="20"/>
                <w:szCs w:val="20"/>
              </w:rPr>
            </w:pPr>
            <w:r w:rsidRPr="00725248">
              <w:rPr>
                <w:b/>
                <w:bCs/>
                <w:color w:val="000000"/>
                <w:sz w:val="20"/>
                <w:szCs w:val="20"/>
              </w:rPr>
              <w:t>Makassar</w:t>
            </w:r>
          </w:p>
        </w:tc>
        <w:tc>
          <w:tcPr>
            <w:tcW w:w="1231" w:type="dxa"/>
            <w:shd w:val="clear" w:color="auto" w:fill="D9D9D9" w:themeFill="background1" w:themeFillShade="D9"/>
            <w:vAlign w:val="center"/>
          </w:tcPr>
          <w:p w14:paraId="45408199" w14:textId="77777777" w:rsidR="0011488B" w:rsidRPr="00725248" w:rsidRDefault="0011488B" w:rsidP="0011488B">
            <w:pPr>
              <w:jc w:val="center"/>
              <w:rPr>
                <w:b/>
                <w:bCs/>
                <w:color w:val="000000"/>
                <w:sz w:val="20"/>
                <w:szCs w:val="20"/>
              </w:rPr>
            </w:pPr>
            <w:r w:rsidRPr="00725248">
              <w:rPr>
                <w:b/>
                <w:bCs/>
                <w:color w:val="000000"/>
                <w:sz w:val="20"/>
                <w:szCs w:val="20"/>
              </w:rPr>
              <w:t>Gowa</w:t>
            </w:r>
          </w:p>
        </w:tc>
        <w:tc>
          <w:tcPr>
            <w:tcW w:w="1242" w:type="dxa"/>
            <w:shd w:val="clear" w:color="auto" w:fill="D9D9D9" w:themeFill="background1" w:themeFillShade="D9"/>
            <w:vAlign w:val="center"/>
          </w:tcPr>
          <w:p w14:paraId="5A02F1C6" w14:textId="602753AF" w:rsidR="0011488B" w:rsidRPr="00725248" w:rsidRDefault="0011488B" w:rsidP="0011488B">
            <w:pPr>
              <w:jc w:val="center"/>
              <w:rPr>
                <w:b/>
                <w:bCs/>
                <w:color w:val="000000"/>
                <w:sz w:val="20"/>
                <w:szCs w:val="20"/>
              </w:rPr>
            </w:pPr>
            <w:r w:rsidRPr="00725248">
              <w:rPr>
                <w:b/>
                <w:bCs/>
                <w:color w:val="000000"/>
                <w:sz w:val="20"/>
                <w:szCs w:val="20"/>
              </w:rPr>
              <w:t>Palopo</w:t>
            </w:r>
          </w:p>
        </w:tc>
        <w:tc>
          <w:tcPr>
            <w:tcW w:w="1242" w:type="dxa"/>
            <w:shd w:val="clear" w:color="auto" w:fill="D9D9D9" w:themeFill="background1" w:themeFillShade="D9"/>
            <w:vAlign w:val="center"/>
          </w:tcPr>
          <w:p w14:paraId="3E0210D2" w14:textId="5FC25CE1" w:rsidR="0011488B" w:rsidRPr="00725248" w:rsidRDefault="0011488B" w:rsidP="0011488B">
            <w:pPr>
              <w:jc w:val="center"/>
              <w:rPr>
                <w:b/>
                <w:bCs/>
                <w:color w:val="000000"/>
                <w:sz w:val="20"/>
                <w:szCs w:val="20"/>
              </w:rPr>
            </w:pPr>
            <w:r w:rsidRPr="00725248">
              <w:rPr>
                <w:b/>
                <w:bCs/>
                <w:color w:val="000000"/>
                <w:sz w:val="20"/>
                <w:szCs w:val="20"/>
              </w:rPr>
              <w:t>Parepare</w:t>
            </w:r>
          </w:p>
        </w:tc>
        <w:tc>
          <w:tcPr>
            <w:tcW w:w="1242" w:type="dxa"/>
            <w:shd w:val="clear" w:color="auto" w:fill="D9D9D9" w:themeFill="background1" w:themeFillShade="D9"/>
            <w:vAlign w:val="center"/>
          </w:tcPr>
          <w:p w14:paraId="56B8A731" w14:textId="20D65837" w:rsidR="0011488B" w:rsidRPr="00725248" w:rsidRDefault="0011488B" w:rsidP="0011488B">
            <w:pPr>
              <w:jc w:val="center"/>
              <w:rPr>
                <w:b/>
                <w:bCs/>
                <w:color w:val="000000"/>
                <w:sz w:val="20"/>
                <w:szCs w:val="20"/>
              </w:rPr>
            </w:pPr>
            <w:r w:rsidRPr="00725248">
              <w:rPr>
                <w:b/>
                <w:bCs/>
                <w:color w:val="000000"/>
                <w:sz w:val="20"/>
                <w:szCs w:val="20"/>
              </w:rPr>
              <w:t>Bulukumba</w:t>
            </w:r>
          </w:p>
        </w:tc>
        <w:tc>
          <w:tcPr>
            <w:tcW w:w="1242" w:type="dxa"/>
            <w:shd w:val="clear" w:color="auto" w:fill="D9D9D9" w:themeFill="background1" w:themeFillShade="D9"/>
            <w:vAlign w:val="center"/>
          </w:tcPr>
          <w:p w14:paraId="04F2F020" w14:textId="77777777" w:rsidR="0011488B" w:rsidRPr="00725248" w:rsidRDefault="0011488B" w:rsidP="0011488B">
            <w:pPr>
              <w:jc w:val="center"/>
              <w:rPr>
                <w:b/>
                <w:bCs/>
                <w:color w:val="000000"/>
                <w:sz w:val="20"/>
                <w:szCs w:val="20"/>
              </w:rPr>
            </w:pPr>
            <w:r w:rsidRPr="00725248">
              <w:rPr>
                <w:b/>
                <w:bCs/>
                <w:color w:val="000000"/>
                <w:sz w:val="20"/>
                <w:szCs w:val="20"/>
              </w:rPr>
              <w:t>Bone</w:t>
            </w:r>
          </w:p>
        </w:tc>
        <w:tc>
          <w:tcPr>
            <w:tcW w:w="1380" w:type="dxa"/>
            <w:shd w:val="clear" w:color="auto" w:fill="D9D9D9" w:themeFill="background1" w:themeFillShade="D9"/>
            <w:vAlign w:val="center"/>
          </w:tcPr>
          <w:p w14:paraId="0FF91F9A" w14:textId="77777777" w:rsidR="0011488B" w:rsidRPr="00725248" w:rsidRDefault="0011488B" w:rsidP="0011488B">
            <w:pPr>
              <w:jc w:val="center"/>
              <w:rPr>
                <w:b/>
                <w:bCs/>
                <w:color w:val="000000"/>
                <w:sz w:val="20"/>
                <w:szCs w:val="20"/>
              </w:rPr>
            </w:pPr>
            <w:r w:rsidRPr="00725248">
              <w:rPr>
                <w:b/>
                <w:bCs/>
                <w:color w:val="000000"/>
                <w:sz w:val="20"/>
                <w:szCs w:val="20"/>
              </w:rPr>
              <w:t>Cost (IDR)</w:t>
            </w:r>
          </w:p>
        </w:tc>
      </w:tr>
      <w:tr w:rsidR="0011488B" w:rsidRPr="00DF278B" w14:paraId="36AFB1F8" w14:textId="77777777" w:rsidTr="0011488B">
        <w:trPr>
          <w:trHeight w:val="278"/>
        </w:trPr>
        <w:tc>
          <w:tcPr>
            <w:tcW w:w="1319" w:type="dxa"/>
            <w:vAlign w:val="center"/>
          </w:tcPr>
          <w:p w14:paraId="5DD50666" w14:textId="77777777" w:rsidR="0011488B" w:rsidRPr="00725248" w:rsidRDefault="0011488B" w:rsidP="0011488B">
            <w:pPr>
              <w:jc w:val="center"/>
              <w:rPr>
                <w:color w:val="000000"/>
                <w:sz w:val="20"/>
                <w:szCs w:val="20"/>
              </w:rPr>
            </w:pPr>
            <w:r w:rsidRPr="00725248">
              <w:rPr>
                <w:color w:val="000000"/>
                <w:sz w:val="20"/>
                <w:szCs w:val="20"/>
              </w:rPr>
              <w:t>Sensitization</w:t>
            </w:r>
          </w:p>
        </w:tc>
        <w:tc>
          <w:tcPr>
            <w:tcW w:w="1229" w:type="dxa"/>
            <w:vAlign w:val="center"/>
          </w:tcPr>
          <w:p w14:paraId="50634C9F" w14:textId="77777777" w:rsidR="0011488B" w:rsidRPr="00725248" w:rsidRDefault="0011488B" w:rsidP="0011488B">
            <w:pPr>
              <w:jc w:val="center"/>
              <w:rPr>
                <w:color w:val="000000"/>
                <w:sz w:val="20"/>
                <w:szCs w:val="20"/>
              </w:rPr>
            </w:pPr>
            <w:r w:rsidRPr="00725248">
              <w:rPr>
                <w:color w:val="000000"/>
                <w:sz w:val="20"/>
                <w:szCs w:val="20"/>
              </w:rPr>
              <w:t>29,690,327</w:t>
            </w:r>
          </w:p>
        </w:tc>
        <w:tc>
          <w:tcPr>
            <w:tcW w:w="1231" w:type="dxa"/>
            <w:vAlign w:val="center"/>
          </w:tcPr>
          <w:p w14:paraId="0C7F5A3D" w14:textId="77777777" w:rsidR="0011488B" w:rsidRPr="00725248" w:rsidRDefault="0011488B" w:rsidP="0011488B">
            <w:pPr>
              <w:jc w:val="center"/>
              <w:rPr>
                <w:color w:val="000000"/>
                <w:sz w:val="20"/>
                <w:szCs w:val="20"/>
              </w:rPr>
            </w:pPr>
            <w:r w:rsidRPr="00725248">
              <w:rPr>
                <w:color w:val="000000"/>
                <w:sz w:val="20"/>
                <w:szCs w:val="20"/>
              </w:rPr>
              <w:t>29,130,283</w:t>
            </w:r>
          </w:p>
        </w:tc>
        <w:tc>
          <w:tcPr>
            <w:tcW w:w="1242" w:type="dxa"/>
            <w:vAlign w:val="center"/>
          </w:tcPr>
          <w:p w14:paraId="3424F965" w14:textId="3E720AB1" w:rsidR="0011488B" w:rsidRPr="00725248" w:rsidRDefault="0011488B" w:rsidP="0011488B">
            <w:pPr>
              <w:jc w:val="center"/>
              <w:rPr>
                <w:color w:val="000000"/>
                <w:sz w:val="20"/>
                <w:szCs w:val="20"/>
              </w:rPr>
            </w:pPr>
            <w:r w:rsidRPr="00725248">
              <w:rPr>
                <w:color w:val="000000"/>
                <w:sz w:val="20"/>
                <w:szCs w:val="20"/>
              </w:rPr>
              <w:t>23,042,122</w:t>
            </w:r>
          </w:p>
        </w:tc>
        <w:tc>
          <w:tcPr>
            <w:tcW w:w="1242" w:type="dxa"/>
            <w:vAlign w:val="center"/>
          </w:tcPr>
          <w:p w14:paraId="09805C41" w14:textId="3810F1CE" w:rsidR="0011488B" w:rsidRPr="00725248" w:rsidRDefault="0011488B" w:rsidP="0011488B">
            <w:pPr>
              <w:jc w:val="center"/>
              <w:rPr>
                <w:color w:val="000000"/>
                <w:sz w:val="20"/>
                <w:szCs w:val="20"/>
              </w:rPr>
            </w:pPr>
            <w:r w:rsidRPr="00725248">
              <w:rPr>
                <w:color w:val="000000"/>
                <w:sz w:val="20"/>
                <w:szCs w:val="20"/>
              </w:rPr>
              <w:t>21,438,867</w:t>
            </w:r>
          </w:p>
        </w:tc>
        <w:tc>
          <w:tcPr>
            <w:tcW w:w="1242" w:type="dxa"/>
            <w:vAlign w:val="center"/>
          </w:tcPr>
          <w:p w14:paraId="0CB58DE9" w14:textId="704C2499" w:rsidR="0011488B" w:rsidRPr="00725248" w:rsidRDefault="0011488B" w:rsidP="0011488B">
            <w:pPr>
              <w:jc w:val="center"/>
              <w:rPr>
                <w:color w:val="000000"/>
                <w:sz w:val="20"/>
                <w:szCs w:val="20"/>
              </w:rPr>
            </w:pPr>
            <w:r w:rsidRPr="00725248">
              <w:rPr>
                <w:color w:val="000000"/>
                <w:sz w:val="20"/>
                <w:szCs w:val="20"/>
              </w:rPr>
              <w:t>38,015,316</w:t>
            </w:r>
          </w:p>
        </w:tc>
        <w:tc>
          <w:tcPr>
            <w:tcW w:w="1242" w:type="dxa"/>
            <w:vAlign w:val="center"/>
          </w:tcPr>
          <w:p w14:paraId="2C11DC84" w14:textId="77777777" w:rsidR="0011488B" w:rsidRPr="00725248" w:rsidRDefault="0011488B" w:rsidP="0011488B">
            <w:pPr>
              <w:jc w:val="center"/>
              <w:rPr>
                <w:color w:val="000000"/>
                <w:sz w:val="20"/>
                <w:szCs w:val="20"/>
              </w:rPr>
            </w:pPr>
            <w:r w:rsidRPr="00725248">
              <w:rPr>
                <w:color w:val="000000"/>
                <w:sz w:val="20"/>
                <w:szCs w:val="20"/>
              </w:rPr>
              <w:t>36,334,067</w:t>
            </w:r>
          </w:p>
        </w:tc>
        <w:tc>
          <w:tcPr>
            <w:tcW w:w="1380" w:type="dxa"/>
          </w:tcPr>
          <w:p w14:paraId="529A35CE" w14:textId="77777777" w:rsidR="0011488B" w:rsidRPr="00725248" w:rsidRDefault="0011488B" w:rsidP="0011488B">
            <w:pPr>
              <w:jc w:val="center"/>
              <w:rPr>
                <w:color w:val="000000"/>
                <w:sz w:val="20"/>
                <w:szCs w:val="20"/>
              </w:rPr>
            </w:pPr>
            <w:r w:rsidRPr="00725248">
              <w:rPr>
                <w:color w:val="000000"/>
                <w:sz w:val="20"/>
                <w:szCs w:val="20"/>
              </w:rPr>
              <w:t>177,650,982</w:t>
            </w:r>
          </w:p>
          <w:p w14:paraId="010EFA94" w14:textId="77777777" w:rsidR="0011488B" w:rsidRPr="00725248" w:rsidRDefault="0011488B" w:rsidP="0011488B">
            <w:pPr>
              <w:jc w:val="center"/>
              <w:rPr>
                <w:color w:val="000000"/>
                <w:sz w:val="20"/>
                <w:szCs w:val="20"/>
              </w:rPr>
            </w:pPr>
            <w:r w:rsidRPr="00725248">
              <w:rPr>
                <w:color w:val="000000"/>
                <w:sz w:val="20"/>
                <w:szCs w:val="20"/>
              </w:rPr>
              <w:t>($12,511)</w:t>
            </w:r>
          </w:p>
        </w:tc>
      </w:tr>
      <w:tr w:rsidR="0011488B" w:rsidRPr="00DF278B" w14:paraId="45C4173B" w14:textId="77777777" w:rsidTr="0011488B">
        <w:tc>
          <w:tcPr>
            <w:tcW w:w="1319" w:type="dxa"/>
            <w:vAlign w:val="center"/>
          </w:tcPr>
          <w:p w14:paraId="0D4B4566" w14:textId="77777777" w:rsidR="0011488B" w:rsidRPr="00725248" w:rsidRDefault="0011488B" w:rsidP="0011488B">
            <w:pPr>
              <w:jc w:val="center"/>
              <w:rPr>
                <w:color w:val="000000"/>
                <w:sz w:val="20"/>
                <w:szCs w:val="20"/>
              </w:rPr>
            </w:pPr>
            <w:r w:rsidRPr="00725248">
              <w:rPr>
                <w:color w:val="000000"/>
                <w:sz w:val="20"/>
                <w:szCs w:val="20"/>
              </w:rPr>
              <w:t>Training</w:t>
            </w:r>
          </w:p>
        </w:tc>
        <w:tc>
          <w:tcPr>
            <w:tcW w:w="1229" w:type="dxa"/>
            <w:vAlign w:val="center"/>
          </w:tcPr>
          <w:p w14:paraId="1BB211E1" w14:textId="77777777" w:rsidR="0011488B" w:rsidRPr="00725248" w:rsidRDefault="0011488B" w:rsidP="0011488B">
            <w:pPr>
              <w:jc w:val="center"/>
              <w:rPr>
                <w:color w:val="000000"/>
                <w:sz w:val="20"/>
                <w:szCs w:val="20"/>
              </w:rPr>
            </w:pPr>
            <w:r w:rsidRPr="00725248">
              <w:rPr>
                <w:color w:val="000000"/>
                <w:sz w:val="20"/>
                <w:szCs w:val="20"/>
              </w:rPr>
              <w:t>101,584,910</w:t>
            </w:r>
          </w:p>
        </w:tc>
        <w:tc>
          <w:tcPr>
            <w:tcW w:w="1231" w:type="dxa"/>
            <w:vAlign w:val="center"/>
          </w:tcPr>
          <w:p w14:paraId="1964A494" w14:textId="77777777" w:rsidR="0011488B" w:rsidRPr="00725248" w:rsidRDefault="0011488B" w:rsidP="0011488B">
            <w:pPr>
              <w:jc w:val="center"/>
              <w:rPr>
                <w:color w:val="000000"/>
                <w:sz w:val="20"/>
                <w:szCs w:val="20"/>
              </w:rPr>
            </w:pPr>
            <w:r w:rsidRPr="00725248">
              <w:rPr>
                <w:color w:val="000000"/>
                <w:sz w:val="20"/>
                <w:szCs w:val="20"/>
              </w:rPr>
              <w:t>73,750,310</w:t>
            </w:r>
          </w:p>
        </w:tc>
        <w:tc>
          <w:tcPr>
            <w:tcW w:w="1242" w:type="dxa"/>
            <w:vAlign w:val="center"/>
          </w:tcPr>
          <w:p w14:paraId="25D99FB5" w14:textId="7D194CF1" w:rsidR="0011488B" w:rsidRPr="00725248" w:rsidRDefault="0011488B" w:rsidP="0011488B">
            <w:pPr>
              <w:jc w:val="center"/>
              <w:rPr>
                <w:color w:val="000000"/>
                <w:sz w:val="20"/>
                <w:szCs w:val="20"/>
              </w:rPr>
            </w:pPr>
            <w:r w:rsidRPr="00725248">
              <w:rPr>
                <w:color w:val="000000"/>
                <w:sz w:val="20"/>
                <w:szCs w:val="20"/>
              </w:rPr>
              <w:t>44,145,591</w:t>
            </w:r>
          </w:p>
        </w:tc>
        <w:tc>
          <w:tcPr>
            <w:tcW w:w="1242" w:type="dxa"/>
            <w:vAlign w:val="center"/>
          </w:tcPr>
          <w:p w14:paraId="28D0B9AC" w14:textId="4EA9A2F9" w:rsidR="0011488B" w:rsidRPr="00725248" w:rsidRDefault="0011488B" w:rsidP="0011488B">
            <w:pPr>
              <w:jc w:val="center"/>
              <w:rPr>
                <w:color w:val="000000"/>
                <w:sz w:val="20"/>
                <w:szCs w:val="20"/>
              </w:rPr>
            </w:pPr>
            <w:r w:rsidRPr="00725248">
              <w:rPr>
                <w:color w:val="000000"/>
                <w:sz w:val="20"/>
                <w:szCs w:val="20"/>
              </w:rPr>
              <w:t>37,902,301</w:t>
            </w:r>
          </w:p>
        </w:tc>
        <w:tc>
          <w:tcPr>
            <w:tcW w:w="1242" w:type="dxa"/>
            <w:vAlign w:val="center"/>
          </w:tcPr>
          <w:p w14:paraId="450A9250" w14:textId="1C5FE4CF" w:rsidR="0011488B" w:rsidRPr="00725248" w:rsidRDefault="0011488B" w:rsidP="0011488B">
            <w:pPr>
              <w:jc w:val="center"/>
              <w:rPr>
                <w:color w:val="000000"/>
                <w:sz w:val="20"/>
                <w:szCs w:val="20"/>
              </w:rPr>
            </w:pPr>
            <w:r w:rsidRPr="00725248">
              <w:rPr>
                <w:color w:val="000000"/>
                <w:sz w:val="20"/>
                <w:szCs w:val="20"/>
              </w:rPr>
              <w:t>67,830,030</w:t>
            </w:r>
          </w:p>
        </w:tc>
        <w:tc>
          <w:tcPr>
            <w:tcW w:w="1242" w:type="dxa"/>
            <w:vAlign w:val="center"/>
          </w:tcPr>
          <w:p w14:paraId="419BEB04" w14:textId="77777777" w:rsidR="0011488B" w:rsidRPr="00725248" w:rsidRDefault="0011488B" w:rsidP="0011488B">
            <w:pPr>
              <w:jc w:val="center"/>
              <w:rPr>
                <w:color w:val="000000"/>
                <w:sz w:val="20"/>
                <w:szCs w:val="20"/>
              </w:rPr>
            </w:pPr>
            <w:r w:rsidRPr="00725248">
              <w:rPr>
                <w:color w:val="000000"/>
                <w:sz w:val="20"/>
                <w:szCs w:val="20"/>
              </w:rPr>
              <w:t>84,474,712</w:t>
            </w:r>
          </w:p>
        </w:tc>
        <w:tc>
          <w:tcPr>
            <w:tcW w:w="1380" w:type="dxa"/>
          </w:tcPr>
          <w:p w14:paraId="5590637C" w14:textId="77777777" w:rsidR="0011488B" w:rsidRPr="00725248" w:rsidRDefault="0011488B" w:rsidP="0011488B">
            <w:pPr>
              <w:jc w:val="center"/>
              <w:rPr>
                <w:color w:val="000000"/>
                <w:sz w:val="20"/>
                <w:szCs w:val="20"/>
              </w:rPr>
            </w:pPr>
            <w:r w:rsidRPr="00725248">
              <w:rPr>
                <w:color w:val="000000"/>
                <w:sz w:val="20"/>
                <w:szCs w:val="20"/>
              </w:rPr>
              <w:t>409,687,855</w:t>
            </w:r>
          </w:p>
          <w:p w14:paraId="1F456F1B" w14:textId="77777777" w:rsidR="0011488B" w:rsidRPr="00725248" w:rsidRDefault="0011488B" w:rsidP="0011488B">
            <w:pPr>
              <w:jc w:val="center"/>
              <w:rPr>
                <w:color w:val="000000"/>
                <w:sz w:val="20"/>
                <w:szCs w:val="20"/>
              </w:rPr>
            </w:pPr>
            <w:r w:rsidRPr="00725248">
              <w:rPr>
                <w:color w:val="000000"/>
                <w:sz w:val="20"/>
                <w:szCs w:val="20"/>
              </w:rPr>
              <w:t>($28,851)</w:t>
            </w:r>
          </w:p>
        </w:tc>
      </w:tr>
      <w:tr w:rsidR="0011488B" w:rsidRPr="00DF278B" w14:paraId="3CFF082F" w14:textId="77777777" w:rsidTr="0011488B">
        <w:tc>
          <w:tcPr>
            <w:tcW w:w="1319" w:type="dxa"/>
            <w:vAlign w:val="center"/>
          </w:tcPr>
          <w:p w14:paraId="0EBC03A9" w14:textId="77777777" w:rsidR="0011488B" w:rsidRPr="00725248" w:rsidRDefault="0011488B" w:rsidP="0011488B">
            <w:pPr>
              <w:jc w:val="center"/>
              <w:rPr>
                <w:color w:val="000000"/>
                <w:sz w:val="20"/>
                <w:szCs w:val="20"/>
              </w:rPr>
            </w:pPr>
            <w:r w:rsidRPr="00725248">
              <w:rPr>
                <w:color w:val="000000"/>
                <w:sz w:val="20"/>
                <w:szCs w:val="20"/>
              </w:rPr>
              <w:t>Service Delivery</w:t>
            </w:r>
          </w:p>
        </w:tc>
        <w:tc>
          <w:tcPr>
            <w:tcW w:w="1229" w:type="dxa"/>
            <w:vAlign w:val="center"/>
          </w:tcPr>
          <w:p w14:paraId="5DE519F9" w14:textId="77777777" w:rsidR="0011488B" w:rsidRPr="00725248" w:rsidRDefault="0011488B" w:rsidP="0011488B">
            <w:pPr>
              <w:jc w:val="center"/>
              <w:rPr>
                <w:color w:val="000000"/>
                <w:sz w:val="20"/>
                <w:szCs w:val="20"/>
              </w:rPr>
            </w:pPr>
            <w:r w:rsidRPr="00725248">
              <w:rPr>
                <w:color w:val="000000"/>
                <w:sz w:val="20"/>
                <w:szCs w:val="20"/>
              </w:rPr>
              <w:t>199,193,954</w:t>
            </w:r>
          </w:p>
        </w:tc>
        <w:tc>
          <w:tcPr>
            <w:tcW w:w="1231" w:type="dxa"/>
            <w:vAlign w:val="center"/>
          </w:tcPr>
          <w:p w14:paraId="39224C69" w14:textId="77777777" w:rsidR="0011488B" w:rsidRPr="00725248" w:rsidRDefault="0011488B" w:rsidP="0011488B">
            <w:pPr>
              <w:jc w:val="center"/>
              <w:rPr>
                <w:color w:val="000000"/>
                <w:sz w:val="20"/>
                <w:szCs w:val="20"/>
              </w:rPr>
            </w:pPr>
            <w:r w:rsidRPr="00725248">
              <w:rPr>
                <w:color w:val="000000"/>
                <w:sz w:val="20"/>
                <w:szCs w:val="20"/>
              </w:rPr>
              <w:t>97,721,350</w:t>
            </w:r>
          </w:p>
        </w:tc>
        <w:tc>
          <w:tcPr>
            <w:tcW w:w="1242" w:type="dxa"/>
            <w:vAlign w:val="center"/>
          </w:tcPr>
          <w:p w14:paraId="5DA2B67B" w14:textId="5CDE1A2C" w:rsidR="0011488B" w:rsidRPr="00725248" w:rsidRDefault="0011488B" w:rsidP="0011488B">
            <w:pPr>
              <w:jc w:val="center"/>
              <w:rPr>
                <w:color w:val="000000"/>
                <w:sz w:val="20"/>
                <w:szCs w:val="20"/>
              </w:rPr>
            </w:pPr>
            <w:r w:rsidRPr="00725248">
              <w:rPr>
                <w:color w:val="000000"/>
                <w:sz w:val="20"/>
                <w:szCs w:val="20"/>
              </w:rPr>
              <w:t>97,076,907</w:t>
            </w:r>
          </w:p>
        </w:tc>
        <w:tc>
          <w:tcPr>
            <w:tcW w:w="1242" w:type="dxa"/>
            <w:vAlign w:val="center"/>
          </w:tcPr>
          <w:p w14:paraId="463F72A9" w14:textId="4F9F0384" w:rsidR="0011488B" w:rsidRPr="00725248" w:rsidRDefault="0011488B" w:rsidP="0011488B">
            <w:pPr>
              <w:jc w:val="center"/>
              <w:rPr>
                <w:color w:val="000000"/>
                <w:sz w:val="20"/>
                <w:szCs w:val="20"/>
              </w:rPr>
            </w:pPr>
            <w:r w:rsidRPr="00725248">
              <w:rPr>
                <w:color w:val="000000"/>
                <w:sz w:val="20"/>
                <w:szCs w:val="20"/>
              </w:rPr>
              <w:t>115,500,902</w:t>
            </w:r>
          </w:p>
        </w:tc>
        <w:tc>
          <w:tcPr>
            <w:tcW w:w="1242" w:type="dxa"/>
            <w:vAlign w:val="center"/>
          </w:tcPr>
          <w:p w14:paraId="73DA21A5" w14:textId="6A6FC9EF" w:rsidR="0011488B" w:rsidRPr="00725248" w:rsidRDefault="0011488B" w:rsidP="0011488B">
            <w:pPr>
              <w:jc w:val="center"/>
              <w:rPr>
                <w:color w:val="000000"/>
                <w:sz w:val="20"/>
                <w:szCs w:val="20"/>
              </w:rPr>
            </w:pPr>
            <w:r w:rsidRPr="00725248">
              <w:rPr>
                <w:color w:val="000000"/>
                <w:sz w:val="20"/>
                <w:szCs w:val="20"/>
              </w:rPr>
              <w:t>118,817,415</w:t>
            </w:r>
          </w:p>
        </w:tc>
        <w:tc>
          <w:tcPr>
            <w:tcW w:w="1242" w:type="dxa"/>
            <w:vAlign w:val="center"/>
          </w:tcPr>
          <w:p w14:paraId="1249BE6A" w14:textId="77777777" w:rsidR="0011488B" w:rsidRPr="00725248" w:rsidRDefault="0011488B" w:rsidP="0011488B">
            <w:pPr>
              <w:jc w:val="center"/>
              <w:rPr>
                <w:color w:val="000000"/>
                <w:sz w:val="20"/>
                <w:szCs w:val="20"/>
              </w:rPr>
            </w:pPr>
            <w:r w:rsidRPr="00725248">
              <w:rPr>
                <w:color w:val="000000"/>
                <w:sz w:val="20"/>
                <w:szCs w:val="20"/>
              </w:rPr>
              <w:t>48,295,994</w:t>
            </w:r>
          </w:p>
        </w:tc>
        <w:tc>
          <w:tcPr>
            <w:tcW w:w="1380" w:type="dxa"/>
            <w:vAlign w:val="center"/>
          </w:tcPr>
          <w:p w14:paraId="381C1AFE" w14:textId="77777777" w:rsidR="0011488B" w:rsidRPr="00725248" w:rsidRDefault="0011488B" w:rsidP="0011488B">
            <w:pPr>
              <w:jc w:val="center"/>
              <w:rPr>
                <w:color w:val="000000"/>
                <w:sz w:val="20"/>
                <w:szCs w:val="20"/>
              </w:rPr>
            </w:pPr>
            <w:r w:rsidRPr="00725248">
              <w:rPr>
                <w:color w:val="000000"/>
                <w:sz w:val="20"/>
                <w:szCs w:val="20"/>
              </w:rPr>
              <w:t>676,606,522</w:t>
            </w:r>
          </w:p>
          <w:p w14:paraId="294451B3" w14:textId="77777777" w:rsidR="0011488B" w:rsidRPr="00725248" w:rsidRDefault="0011488B" w:rsidP="0011488B">
            <w:pPr>
              <w:jc w:val="center"/>
              <w:rPr>
                <w:color w:val="000000"/>
                <w:sz w:val="20"/>
                <w:szCs w:val="20"/>
              </w:rPr>
            </w:pPr>
            <w:r w:rsidRPr="00725248">
              <w:rPr>
                <w:color w:val="000000"/>
                <w:sz w:val="20"/>
                <w:szCs w:val="20"/>
              </w:rPr>
              <w:t>($47,648)</w:t>
            </w:r>
          </w:p>
        </w:tc>
      </w:tr>
      <w:tr w:rsidR="0011488B" w:rsidRPr="00DF278B" w14:paraId="6ACFB117" w14:textId="77777777" w:rsidTr="0011488B">
        <w:tc>
          <w:tcPr>
            <w:tcW w:w="1319" w:type="dxa"/>
            <w:vAlign w:val="center"/>
          </w:tcPr>
          <w:p w14:paraId="1EE9C9D8" w14:textId="77777777" w:rsidR="0011488B" w:rsidRPr="00725248" w:rsidRDefault="0011488B" w:rsidP="0011488B">
            <w:pPr>
              <w:jc w:val="center"/>
              <w:rPr>
                <w:color w:val="000000"/>
                <w:sz w:val="20"/>
                <w:szCs w:val="20"/>
              </w:rPr>
            </w:pPr>
            <w:r w:rsidRPr="00725248">
              <w:rPr>
                <w:color w:val="000000"/>
                <w:sz w:val="20"/>
                <w:szCs w:val="20"/>
              </w:rPr>
              <w:t>HKI Programming</w:t>
            </w:r>
          </w:p>
        </w:tc>
        <w:tc>
          <w:tcPr>
            <w:tcW w:w="1229" w:type="dxa"/>
            <w:vAlign w:val="center"/>
          </w:tcPr>
          <w:p w14:paraId="09F123FC" w14:textId="77777777" w:rsidR="0011488B" w:rsidRPr="00725248" w:rsidRDefault="0011488B" w:rsidP="0011488B">
            <w:pPr>
              <w:jc w:val="center"/>
              <w:rPr>
                <w:color w:val="000000"/>
                <w:sz w:val="20"/>
                <w:szCs w:val="20"/>
              </w:rPr>
            </w:pPr>
            <w:r w:rsidRPr="00725248">
              <w:rPr>
                <w:color w:val="000000"/>
                <w:sz w:val="20"/>
                <w:szCs w:val="20"/>
              </w:rPr>
              <w:t>25,025,962</w:t>
            </w:r>
          </w:p>
        </w:tc>
        <w:tc>
          <w:tcPr>
            <w:tcW w:w="1231" w:type="dxa"/>
            <w:vAlign w:val="center"/>
          </w:tcPr>
          <w:p w14:paraId="02FE3D16" w14:textId="77777777" w:rsidR="0011488B" w:rsidRPr="00725248" w:rsidRDefault="0011488B" w:rsidP="0011488B">
            <w:pPr>
              <w:jc w:val="center"/>
              <w:rPr>
                <w:color w:val="000000"/>
                <w:sz w:val="20"/>
                <w:szCs w:val="20"/>
              </w:rPr>
            </w:pPr>
            <w:r w:rsidRPr="00725248">
              <w:rPr>
                <w:color w:val="000000"/>
                <w:sz w:val="20"/>
                <w:szCs w:val="20"/>
              </w:rPr>
              <w:t>21,637,504</w:t>
            </w:r>
          </w:p>
        </w:tc>
        <w:tc>
          <w:tcPr>
            <w:tcW w:w="1242" w:type="dxa"/>
            <w:vAlign w:val="center"/>
          </w:tcPr>
          <w:p w14:paraId="30D5FC60" w14:textId="2256D09F" w:rsidR="0011488B" w:rsidRPr="00725248" w:rsidRDefault="0011488B" w:rsidP="0011488B">
            <w:pPr>
              <w:jc w:val="center"/>
              <w:rPr>
                <w:color w:val="000000"/>
                <w:sz w:val="20"/>
                <w:szCs w:val="20"/>
              </w:rPr>
            </w:pPr>
            <w:r w:rsidRPr="00725248">
              <w:rPr>
                <w:color w:val="000000"/>
                <w:sz w:val="20"/>
                <w:szCs w:val="20"/>
              </w:rPr>
              <w:t>16,902,781</w:t>
            </w:r>
          </w:p>
        </w:tc>
        <w:tc>
          <w:tcPr>
            <w:tcW w:w="1242" w:type="dxa"/>
            <w:vAlign w:val="center"/>
          </w:tcPr>
          <w:p w14:paraId="1C3FAD11" w14:textId="778E2C4A" w:rsidR="0011488B" w:rsidRPr="00725248" w:rsidRDefault="0011488B" w:rsidP="0011488B">
            <w:pPr>
              <w:jc w:val="center"/>
              <w:rPr>
                <w:color w:val="000000"/>
                <w:sz w:val="20"/>
                <w:szCs w:val="20"/>
              </w:rPr>
            </w:pPr>
            <w:r w:rsidRPr="00725248">
              <w:rPr>
                <w:color w:val="000000"/>
                <w:sz w:val="20"/>
                <w:szCs w:val="20"/>
              </w:rPr>
              <w:t>15,614,255</w:t>
            </w:r>
          </w:p>
        </w:tc>
        <w:tc>
          <w:tcPr>
            <w:tcW w:w="1242" w:type="dxa"/>
            <w:vAlign w:val="center"/>
          </w:tcPr>
          <w:p w14:paraId="6E7A33DB" w14:textId="0B1E9F67" w:rsidR="0011488B" w:rsidRPr="00725248" w:rsidRDefault="0011488B" w:rsidP="0011488B">
            <w:pPr>
              <w:jc w:val="center"/>
              <w:rPr>
                <w:color w:val="000000"/>
                <w:sz w:val="20"/>
                <w:szCs w:val="20"/>
              </w:rPr>
            </w:pPr>
            <w:r w:rsidRPr="00725248">
              <w:rPr>
                <w:color w:val="000000"/>
                <w:sz w:val="20"/>
                <w:szCs w:val="20"/>
              </w:rPr>
              <w:t>22,318,235</w:t>
            </w:r>
          </w:p>
        </w:tc>
        <w:tc>
          <w:tcPr>
            <w:tcW w:w="1242" w:type="dxa"/>
            <w:vAlign w:val="center"/>
          </w:tcPr>
          <w:p w14:paraId="6124419C" w14:textId="77777777" w:rsidR="0011488B" w:rsidRPr="00725248" w:rsidRDefault="0011488B" w:rsidP="0011488B">
            <w:pPr>
              <w:jc w:val="center"/>
              <w:rPr>
                <w:color w:val="000000"/>
                <w:sz w:val="20"/>
                <w:szCs w:val="20"/>
              </w:rPr>
            </w:pPr>
            <w:r w:rsidRPr="00725248">
              <w:rPr>
                <w:color w:val="000000"/>
                <w:sz w:val="20"/>
                <w:szCs w:val="20"/>
              </w:rPr>
              <w:t>23,743,514</w:t>
            </w:r>
          </w:p>
        </w:tc>
        <w:tc>
          <w:tcPr>
            <w:tcW w:w="1380" w:type="dxa"/>
            <w:vAlign w:val="center"/>
          </w:tcPr>
          <w:p w14:paraId="1F8EE715" w14:textId="77777777" w:rsidR="0011488B" w:rsidRPr="00725248" w:rsidRDefault="0011488B" w:rsidP="0011488B">
            <w:pPr>
              <w:jc w:val="center"/>
              <w:rPr>
                <w:color w:val="000000"/>
                <w:sz w:val="20"/>
                <w:szCs w:val="20"/>
              </w:rPr>
            </w:pPr>
            <w:r w:rsidRPr="00725248">
              <w:rPr>
                <w:color w:val="000000"/>
                <w:sz w:val="20"/>
                <w:szCs w:val="20"/>
              </w:rPr>
              <w:t>125,242,250</w:t>
            </w:r>
          </w:p>
          <w:p w14:paraId="4843C454" w14:textId="77777777" w:rsidR="0011488B" w:rsidRPr="00725248" w:rsidRDefault="0011488B" w:rsidP="0011488B">
            <w:pPr>
              <w:jc w:val="center"/>
              <w:rPr>
                <w:color w:val="000000"/>
                <w:sz w:val="20"/>
                <w:szCs w:val="20"/>
              </w:rPr>
            </w:pPr>
            <w:r w:rsidRPr="00725248">
              <w:rPr>
                <w:color w:val="000000"/>
                <w:sz w:val="20"/>
                <w:szCs w:val="20"/>
              </w:rPr>
              <w:t>($8,820)</w:t>
            </w:r>
          </w:p>
        </w:tc>
      </w:tr>
      <w:tr w:rsidR="0011488B" w:rsidRPr="00DF278B" w14:paraId="4C7E03FC" w14:textId="77777777" w:rsidTr="0011488B">
        <w:tc>
          <w:tcPr>
            <w:tcW w:w="1319" w:type="dxa"/>
            <w:vAlign w:val="center"/>
          </w:tcPr>
          <w:p w14:paraId="3CC9B2BF" w14:textId="77777777" w:rsidR="0011488B" w:rsidRPr="00725248" w:rsidRDefault="0011488B" w:rsidP="0011488B">
            <w:pPr>
              <w:jc w:val="center"/>
              <w:rPr>
                <w:color w:val="000000"/>
                <w:sz w:val="20"/>
                <w:szCs w:val="20"/>
              </w:rPr>
            </w:pPr>
            <w:r w:rsidRPr="00725248">
              <w:rPr>
                <w:color w:val="000000"/>
                <w:sz w:val="20"/>
                <w:szCs w:val="20"/>
              </w:rPr>
              <w:t>Total Cost</w:t>
            </w:r>
          </w:p>
        </w:tc>
        <w:tc>
          <w:tcPr>
            <w:tcW w:w="1229" w:type="dxa"/>
            <w:vAlign w:val="center"/>
          </w:tcPr>
          <w:p w14:paraId="20DB18BD" w14:textId="77777777" w:rsidR="0011488B" w:rsidRPr="00725248" w:rsidRDefault="0011488B" w:rsidP="0011488B">
            <w:pPr>
              <w:jc w:val="center"/>
              <w:rPr>
                <w:color w:val="000000"/>
                <w:sz w:val="20"/>
                <w:szCs w:val="20"/>
              </w:rPr>
            </w:pPr>
            <w:r w:rsidRPr="00725248">
              <w:rPr>
                <w:color w:val="000000"/>
                <w:sz w:val="20"/>
                <w:szCs w:val="20"/>
              </w:rPr>
              <w:t>355,495,153</w:t>
            </w:r>
          </w:p>
        </w:tc>
        <w:tc>
          <w:tcPr>
            <w:tcW w:w="1231" w:type="dxa"/>
            <w:vAlign w:val="center"/>
          </w:tcPr>
          <w:p w14:paraId="1050CBDA" w14:textId="77777777" w:rsidR="0011488B" w:rsidRPr="00725248" w:rsidRDefault="0011488B" w:rsidP="0011488B">
            <w:pPr>
              <w:jc w:val="center"/>
              <w:rPr>
                <w:color w:val="000000"/>
                <w:sz w:val="20"/>
                <w:szCs w:val="20"/>
              </w:rPr>
            </w:pPr>
            <w:r w:rsidRPr="00725248">
              <w:rPr>
                <w:color w:val="000000"/>
                <w:sz w:val="20"/>
                <w:szCs w:val="20"/>
              </w:rPr>
              <w:t>222,239,448</w:t>
            </w:r>
          </w:p>
        </w:tc>
        <w:tc>
          <w:tcPr>
            <w:tcW w:w="1242" w:type="dxa"/>
            <w:vAlign w:val="center"/>
          </w:tcPr>
          <w:p w14:paraId="7B229DE6" w14:textId="24460C7E" w:rsidR="0011488B" w:rsidRPr="00725248" w:rsidRDefault="0011488B" w:rsidP="0011488B">
            <w:pPr>
              <w:jc w:val="center"/>
              <w:rPr>
                <w:color w:val="000000"/>
                <w:sz w:val="20"/>
                <w:szCs w:val="20"/>
              </w:rPr>
            </w:pPr>
            <w:r w:rsidRPr="00725248">
              <w:rPr>
                <w:color w:val="000000"/>
                <w:sz w:val="20"/>
                <w:szCs w:val="20"/>
              </w:rPr>
              <w:t>181,167,401</w:t>
            </w:r>
          </w:p>
        </w:tc>
        <w:tc>
          <w:tcPr>
            <w:tcW w:w="1242" w:type="dxa"/>
            <w:vAlign w:val="center"/>
          </w:tcPr>
          <w:p w14:paraId="7A10845A" w14:textId="2E5A101F" w:rsidR="0011488B" w:rsidRPr="00725248" w:rsidRDefault="0011488B" w:rsidP="0011488B">
            <w:pPr>
              <w:jc w:val="center"/>
              <w:rPr>
                <w:color w:val="000000"/>
                <w:sz w:val="20"/>
                <w:szCs w:val="20"/>
              </w:rPr>
            </w:pPr>
            <w:r w:rsidRPr="00725248">
              <w:rPr>
                <w:color w:val="000000"/>
                <w:sz w:val="20"/>
                <w:szCs w:val="20"/>
              </w:rPr>
              <w:t>190,456,325</w:t>
            </w:r>
          </w:p>
        </w:tc>
        <w:tc>
          <w:tcPr>
            <w:tcW w:w="1242" w:type="dxa"/>
            <w:vAlign w:val="center"/>
          </w:tcPr>
          <w:p w14:paraId="06A91EB9" w14:textId="51DF35DF" w:rsidR="0011488B" w:rsidRPr="00725248" w:rsidRDefault="0011488B" w:rsidP="0011488B">
            <w:pPr>
              <w:jc w:val="center"/>
              <w:rPr>
                <w:color w:val="000000"/>
                <w:sz w:val="20"/>
                <w:szCs w:val="20"/>
              </w:rPr>
            </w:pPr>
            <w:r w:rsidRPr="00725248">
              <w:rPr>
                <w:color w:val="000000"/>
                <w:sz w:val="20"/>
                <w:szCs w:val="20"/>
              </w:rPr>
              <w:t>246,980,995</w:t>
            </w:r>
          </w:p>
        </w:tc>
        <w:tc>
          <w:tcPr>
            <w:tcW w:w="1242" w:type="dxa"/>
            <w:vAlign w:val="center"/>
          </w:tcPr>
          <w:p w14:paraId="210C5F59" w14:textId="77777777" w:rsidR="0011488B" w:rsidRPr="00725248" w:rsidRDefault="0011488B" w:rsidP="0011488B">
            <w:pPr>
              <w:jc w:val="center"/>
              <w:rPr>
                <w:color w:val="000000"/>
                <w:sz w:val="20"/>
                <w:szCs w:val="20"/>
              </w:rPr>
            </w:pPr>
            <w:r w:rsidRPr="00725248">
              <w:rPr>
                <w:color w:val="000000"/>
                <w:sz w:val="20"/>
                <w:szCs w:val="20"/>
              </w:rPr>
              <w:t>192,848,287</w:t>
            </w:r>
          </w:p>
        </w:tc>
        <w:tc>
          <w:tcPr>
            <w:tcW w:w="1380" w:type="dxa"/>
          </w:tcPr>
          <w:p w14:paraId="23A18370" w14:textId="77777777" w:rsidR="0011488B" w:rsidRPr="00725248" w:rsidRDefault="0011488B" w:rsidP="0011488B">
            <w:pPr>
              <w:jc w:val="center"/>
              <w:rPr>
                <w:color w:val="000000"/>
                <w:sz w:val="20"/>
                <w:szCs w:val="20"/>
              </w:rPr>
            </w:pPr>
            <w:r w:rsidRPr="00725248">
              <w:rPr>
                <w:color w:val="000000"/>
                <w:sz w:val="20"/>
                <w:szCs w:val="20"/>
              </w:rPr>
              <w:t>1,389,187,609</w:t>
            </w:r>
          </w:p>
          <w:p w14:paraId="063C25AD" w14:textId="77777777" w:rsidR="0011488B" w:rsidRPr="00725248" w:rsidRDefault="0011488B" w:rsidP="0011488B">
            <w:pPr>
              <w:jc w:val="center"/>
              <w:rPr>
                <w:color w:val="000000"/>
                <w:sz w:val="20"/>
                <w:szCs w:val="20"/>
              </w:rPr>
            </w:pPr>
            <w:r w:rsidRPr="00725248">
              <w:rPr>
                <w:color w:val="000000"/>
                <w:sz w:val="20"/>
                <w:szCs w:val="20"/>
              </w:rPr>
              <w:t>($97,380)</w:t>
            </w:r>
          </w:p>
        </w:tc>
      </w:tr>
    </w:tbl>
    <w:p w14:paraId="196BC5D9" w14:textId="77777777" w:rsidR="00DB3309" w:rsidRPr="00DF278B" w:rsidRDefault="00DB3309" w:rsidP="00DB3309">
      <w:pPr>
        <w:rPr>
          <w:i/>
          <w:iCs/>
          <w:sz w:val="20"/>
          <w:szCs w:val="20"/>
        </w:rPr>
      </w:pPr>
      <w:r w:rsidRPr="00DF278B">
        <w:rPr>
          <w:i/>
          <w:iCs/>
          <w:sz w:val="20"/>
          <w:szCs w:val="20"/>
        </w:rPr>
        <w:t>Note: Costs are presented in IDR unless otherwise specified</w:t>
      </w:r>
    </w:p>
    <w:p w14:paraId="5691CD81" w14:textId="77777777" w:rsidR="00DB3309" w:rsidRPr="00DF278B" w:rsidRDefault="00DB3309" w:rsidP="00DB3309">
      <w:pPr>
        <w:rPr>
          <w:b/>
          <w:bCs/>
        </w:rPr>
      </w:pPr>
    </w:p>
    <w:p w14:paraId="3285A621" w14:textId="34277518" w:rsidR="00DB3309" w:rsidRDefault="00DB3309" w:rsidP="00DB3309">
      <w:pPr>
        <w:rPr>
          <w:b/>
          <w:bCs/>
        </w:rPr>
      </w:pPr>
      <w:r w:rsidRPr="00DF278B">
        <w:rPr>
          <w:b/>
          <w:bCs/>
        </w:rPr>
        <w:t xml:space="preserve">Table 2b: District-Level Total Costs, by Expenditure Categories </w:t>
      </w:r>
    </w:p>
    <w:p w14:paraId="68C3F08F" w14:textId="77777777" w:rsidR="00BD5051" w:rsidRPr="00DF278B" w:rsidRDefault="00BD5051" w:rsidP="00DB3309">
      <w:pPr>
        <w:rPr>
          <w:b/>
          <w:bCs/>
        </w:rPr>
      </w:pPr>
    </w:p>
    <w:tbl>
      <w:tblPr>
        <w:tblStyle w:val="TableGrid"/>
        <w:tblW w:w="10038" w:type="dxa"/>
        <w:tblInd w:w="-5" w:type="dxa"/>
        <w:tblLayout w:type="fixed"/>
        <w:tblLook w:val="04A0" w:firstRow="1" w:lastRow="0" w:firstColumn="1" w:lastColumn="0" w:noHBand="0" w:noVBand="1"/>
      </w:tblPr>
      <w:tblGrid>
        <w:gridCol w:w="1496"/>
        <w:gridCol w:w="1260"/>
        <w:gridCol w:w="1170"/>
        <w:gridCol w:w="1170"/>
        <w:gridCol w:w="1170"/>
        <w:gridCol w:w="1328"/>
        <w:gridCol w:w="1170"/>
        <w:gridCol w:w="14"/>
        <w:gridCol w:w="1246"/>
        <w:gridCol w:w="14"/>
      </w:tblGrid>
      <w:tr w:rsidR="0032017A" w:rsidRPr="00DF278B" w14:paraId="768DC41C" w14:textId="77777777" w:rsidTr="00441B90">
        <w:tc>
          <w:tcPr>
            <w:tcW w:w="1496" w:type="dxa"/>
            <w:tcBorders>
              <w:top w:val="nil"/>
              <w:left w:val="nil"/>
            </w:tcBorders>
            <w:vAlign w:val="center"/>
          </w:tcPr>
          <w:p w14:paraId="2F4F2EA5" w14:textId="77777777" w:rsidR="0032017A" w:rsidRPr="00725248" w:rsidRDefault="0032017A" w:rsidP="0032017A">
            <w:pPr>
              <w:jc w:val="center"/>
              <w:rPr>
                <w:b/>
                <w:bCs/>
                <w:color w:val="000000"/>
                <w:sz w:val="20"/>
                <w:szCs w:val="20"/>
              </w:rPr>
            </w:pPr>
          </w:p>
        </w:tc>
        <w:tc>
          <w:tcPr>
            <w:tcW w:w="4770" w:type="dxa"/>
            <w:gridSpan w:val="4"/>
            <w:shd w:val="clear" w:color="auto" w:fill="D9D9D9" w:themeFill="background1" w:themeFillShade="D9"/>
            <w:vAlign w:val="center"/>
          </w:tcPr>
          <w:p w14:paraId="6DC221FF" w14:textId="2B2B54BA" w:rsidR="0032017A" w:rsidRPr="00725248" w:rsidRDefault="0032017A" w:rsidP="0032017A">
            <w:pPr>
              <w:jc w:val="center"/>
              <w:rPr>
                <w:b/>
                <w:bCs/>
                <w:color w:val="000000"/>
                <w:sz w:val="20"/>
                <w:szCs w:val="20"/>
              </w:rPr>
            </w:pPr>
            <w:r w:rsidRPr="00725248">
              <w:rPr>
                <w:b/>
                <w:bCs/>
                <w:color w:val="000000"/>
                <w:sz w:val="20"/>
                <w:szCs w:val="20"/>
              </w:rPr>
              <w:t>School-Based Refraction</w:t>
            </w:r>
          </w:p>
        </w:tc>
        <w:tc>
          <w:tcPr>
            <w:tcW w:w="2512" w:type="dxa"/>
            <w:gridSpan w:val="3"/>
            <w:shd w:val="clear" w:color="auto" w:fill="D9D9D9" w:themeFill="background1" w:themeFillShade="D9"/>
            <w:vAlign w:val="center"/>
          </w:tcPr>
          <w:p w14:paraId="361BAADA" w14:textId="2453126F" w:rsidR="0032017A" w:rsidRPr="00725248" w:rsidRDefault="0032017A" w:rsidP="0032017A">
            <w:pPr>
              <w:jc w:val="center"/>
              <w:rPr>
                <w:b/>
                <w:bCs/>
                <w:color w:val="000000"/>
                <w:sz w:val="20"/>
                <w:szCs w:val="20"/>
              </w:rPr>
            </w:pPr>
            <w:r w:rsidRPr="00725248">
              <w:rPr>
                <w:b/>
                <w:bCs/>
                <w:color w:val="000000"/>
                <w:sz w:val="20"/>
                <w:szCs w:val="20"/>
              </w:rPr>
              <w:t>Central Refraction</w:t>
            </w:r>
          </w:p>
        </w:tc>
        <w:tc>
          <w:tcPr>
            <w:tcW w:w="1260" w:type="dxa"/>
            <w:gridSpan w:val="2"/>
            <w:tcBorders>
              <w:top w:val="nil"/>
              <w:right w:val="nil"/>
            </w:tcBorders>
            <w:vAlign w:val="center"/>
          </w:tcPr>
          <w:p w14:paraId="5E762C49" w14:textId="77777777" w:rsidR="0032017A" w:rsidRPr="00725248" w:rsidRDefault="0032017A" w:rsidP="0032017A">
            <w:pPr>
              <w:jc w:val="center"/>
              <w:rPr>
                <w:b/>
                <w:bCs/>
                <w:color w:val="000000"/>
                <w:sz w:val="20"/>
                <w:szCs w:val="20"/>
              </w:rPr>
            </w:pPr>
          </w:p>
        </w:tc>
      </w:tr>
      <w:tr w:rsidR="0032017A" w:rsidRPr="00DF278B" w14:paraId="53A85195" w14:textId="77777777" w:rsidTr="00441B90">
        <w:trPr>
          <w:gridAfter w:val="1"/>
          <w:wAfter w:w="14" w:type="dxa"/>
        </w:trPr>
        <w:tc>
          <w:tcPr>
            <w:tcW w:w="1496" w:type="dxa"/>
            <w:shd w:val="clear" w:color="auto" w:fill="D9D9D9" w:themeFill="background1" w:themeFillShade="D9"/>
            <w:vAlign w:val="center"/>
          </w:tcPr>
          <w:p w14:paraId="4C4318C7" w14:textId="77777777" w:rsidR="0032017A" w:rsidRPr="00725248" w:rsidRDefault="0032017A" w:rsidP="0032017A">
            <w:pPr>
              <w:jc w:val="center"/>
              <w:rPr>
                <w:b/>
                <w:bCs/>
                <w:color w:val="000000"/>
                <w:sz w:val="20"/>
                <w:szCs w:val="20"/>
              </w:rPr>
            </w:pPr>
            <w:r w:rsidRPr="00725248">
              <w:rPr>
                <w:b/>
                <w:bCs/>
                <w:color w:val="000000"/>
                <w:sz w:val="20"/>
                <w:szCs w:val="20"/>
              </w:rPr>
              <w:t>Expenditure Category</w:t>
            </w:r>
          </w:p>
        </w:tc>
        <w:tc>
          <w:tcPr>
            <w:tcW w:w="1260" w:type="dxa"/>
            <w:shd w:val="clear" w:color="auto" w:fill="D9D9D9" w:themeFill="background1" w:themeFillShade="D9"/>
            <w:vAlign w:val="center"/>
          </w:tcPr>
          <w:p w14:paraId="451A6D7F" w14:textId="77777777" w:rsidR="0032017A" w:rsidRPr="00725248" w:rsidRDefault="0032017A" w:rsidP="0032017A">
            <w:pPr>
              <w:jc w:val="center"/>
              <w:rPr>
                <w:b/>
                <w:bCs/>
                <w:color w:val="000000"/>
                <w:sz w:val="20"/>
                <w:szCs w:val="20"/>
              </w:rPr>
            </w:pPr>
            <w:r w:rsidRPr="00725248">
              <w:rPr>
                <w:b/>
                <w:bCs/>
                <w:color w:val="000000"/>
                <w:sz w:val="20"/>
                <w:szCs w:val="20"/>
              </w:rPr>
              <w:t>Makassar</w:t>
            </w:r>
          </w:p>
        </w:tc>
        <w:tc>
          <w:tcPr>
            <w:tcW w:w="1170" w:type="dxa"/>
            <w:shd w:val="clear" w:color="auto" w:fill="D9D9D9" w:themeFill="background1" w:themeFillShade="D9"/>
            <w:vAlign w:val="center"/>
          </w:tcPr>
          <w:p w14:paraId="21E78DDC" w14:textId="77777777" w:rsidR="0032017A" w:rsidRPr="00725248" w:rsidRDefault="0032017A" w:rsidP="0032017A">
            <w:pPr>
              <w:jc w:val="center"/>
              <w:rPr>
                <w:b/>
                <w:bCs/>
                <w:color w:val="000000"/>
                <w:sz w:val="20"/>
                <w:szCs w:val="20"/>
              </w:rPr>
            </w:pPr>
            <w:r w:rsidRPr="00725248">
              <w:rPr>
                <w:b/>
                <w:bCs/>
                <w:color w:val="000000"/>
                <w:sz w:val="20"/>
                <w:szCs w:val="20"/>
              </w:rPr>
              <w:t>Gowa</w:t>
            </w:r>
          </w:p>
        </w:tc>
        <w:tc>
          <w:tcPr>
            <w:tcW w:w="1170" w:type="dxa"/>
            <w:shd w:val="clear" w:color="auto" w:fill="D9D9D9" w:themeFill="background1" w:themeFillShade="D9"/>
            <w:vAlign w:val="center"/>
          </w:tcPr>
          <w:p w14:paraId="64E453AD" w14:textId="508FA49A" w:rsidR="0032017A" w:rsidRPr="00725248" w:rsidRDefault="0032017A" w:rsidP="0032017A">
            <w:pPr>
              <w:jc w:val="center"/>
              <w:rPr>
                <w:b/>
                <w:bCs/>
                <w:color w:val="000000"/>
                <w:sz w:val="20"/>
                <w:szCs w:val="20"/>
              </w:rPr>
            </w:pPr>
            <w:r w:rsidRPr="00725248">
              <w:rPr>
                <w:b/>
                <w:bCs/>
                <w:color w:val="000000"/>
                <w:sz w:val="20"/>
                <w:szCs w:val="20"/>
              </w:rPr>
              <w:t>Palopo</w:t>
            </w:r>
          </w:p>
        </w:tc>
        <w:tc>
          <w:tcPr>
            <w:tcW w:w="1170" w:type="dxa"/>
            <w:shd w:val="clear" w:color="auto" w:fill="D9D9D9" w:themeFill="background1" w:themeFillShade="D9"/>
            <w:vAlign w:val="center"/>
          </w:tcPr>
          <w:p w14:paraId="266AFA5A" w14:textId="31AA76B2" w:rsidR="0032017A" w:rsidRPr="00725248" w:rsidRDefault="0032017A" w:rsidP="0032017A">
            <w:pPr>
              <w:jc w:val="center"/>
              <w:rPr>
                <w:b/>
                <w:bCs/>
                <w:color w:val="000000"/>
                <w:sz w:val="20"/>
                <w:szCs w:val="20"/>
              </w:rPr>
            </w:pPr>
            <w:r w:rsidRPr="00725248">
              <w:rPr>
                <w:b/>
                <w:bCs/>
                <w:color w:val="000000"/>
                <w:sz w:val="20"/>
                <w:szCs w:val="20"/>
              </w:rPr>
              <w:t>Parepare</w:t>
            </w:r>
          </w:p>
        </w:tc>
        <w:tc>
          <w:tcPr>
            <w:tcW w:w="1328" w:type="dxa"/>
            <w:shd w:val="clear" w:color="auto" w:fill="D9D9D9" w:themeFill="background1" w:themeFillShade="D9"/>
            <w:vAlign w:val="center"/>
          </w:tcPr>
          <w:p w14:paraId="4B39F9E7" w14:textId="5606FB52" w:rsidR="0032017A" w:rsidRPr="00725248" w:rsidRDefault="0032017A" w:rsidP="0032017A">
            <w:pPr>
              <w:jc w:val="center"/>
              <w:rPr>
                <w:b/>
                <w:bCs/>
                <w:color w:val="000000"/>
                <w:sz w:val="20"/>
                <w:szCs w:val="20"/>
              </w:rPr>
            </w:pPr>
            <w:r w:rsidRPr="00725248">
              <w:rPr>
                <w:b/>
                <w:bCs/>
                <w:color w:val="000000"/>
                <w:sz w:val="20"/>
                <w:szCs w:val="20"/>
              </w:rPr>
              <w:t>Bulukumba</w:t>
            </w:r>
          </w:p>
        </w:tc>
        <w:tc>
          <w:tcPr>
            <w:tcW w:w="1170" w:type="dxa"/>
            <w:shd w:val="clear" w:color="auto" w:fill="D9D9D9" w:themeFill="background1" w:themeFillShade="D9"/>
            <w:vAlign w:val="center"/>
          </w:tcPr>
          <w:p w14:paraId="0A34E99D" w14:textId="77777777" w:rsidR="0032017A" w:rsidRPr="00725248" w:rsidRDefault="0032017A" w:rsidP="0032017A">
            <w:pPr>
              <w:jc w:val="center"/>
              <w:rPr>
                <w:b/>
                <w:bCs/>
                <w:color w:val="000000"/>
                <w:sz w:val="20"/>
                <w:szCs w:val="20"/>
              </w:rPr>
            </w:pPr>
            <w:r w:rsidRPr="00725248">
              <w:rPr>
                <w:b/>
                <w:bCs/>
                <w:color w:val="000000"/>
                <w:sz w:val="20"/>
                <w:szCs w:val="20"/>
              </w:rPr>
              <w:t>Bone</w:t>
            </w:r>
          </w:p>
        </w:tc>
        <w:tc>
          <w:tcPr>
            <w:tcW w:w="1260" w:type="dxa"/>
            <w:gridSpan w:val="2"/>
            <w:shd w:val="clear" w:color="auto" w:fill="D9D9D9" w:themeFill="background1" w:themeFillShade="D9"/>
            <w:vAlign w:val="center"/>
          </w:tcPr>
          <w:p w14:paraId="138E42E0" w14:textId="4E653754" w:rsidR="0032017A" w:rsidRPr="00725248" w:rsidRDefault="0032017A" w:rsidP="0032017A">
            <w:pPr>
              <w:jc w:val="center"/>
              <w:rPr>
                <w:b/>
                <w:bCs/>
                <w:color w:val="000000"/>
                <w:sz w:val="20"/>
                <w:szCs w:val="20"/>
              </w:rPr>
            </w:pPr>
            <w:r w:rsidRPr="00725248">
              <w:rPr>
                <w:b/>
                <w:bCs/>
                <w:color w:val="000000"/>
                <w:sz w:val="20"/>
                <w:szCs w:val="20"/>
              </w:rPr>
              <w:t>Cost (IDR)</w:t>
            </w:r>
          </w:p>
        </w:tc>
      </w:tr>
      <w:tr w:rsidR="0032017A" w:rsidRPr="00DF278B" w14:paraId="1AF298B6" w14:textId="77777777" w:rsidTr="00441B90">
        <w:trPr>
          <w:gridAfter w:val="1"/>
          <w:wAfter w:w="14" w:type="dxa"/>
          <w:trHeight w:val="278"/>
        </w:trPr>
        <w:tc>
          <w:tcPr>
            <w:tcW w:w="1496" w:type="dxa"/>
            <w:vAlign w:val="center"/>
          </w:tcPr>
          <w:p w14:paraId="7B4EA288" w14:textId="77777777" w:rsidR="0032017A" w:rsidRPr="00725248" w:rsidRDefault="0032017A" w:rsidP="0032017A">
            <w:pPr>
              <w:jc w:val="center"/>
              <w:rPr>
                <w:color w:val="000000"/>
                <w:sz w:val="20"/>
                <w:szCs w:val="20"/>
              </w:rPr>
            </w:pPr>
            <w:r w:rsidRPr="00725248">
              <w:rPr>
                <w:color w:val="000000"/>
                <w:sz w:val="20"/>
                <w:szCs w:val="20"/>
              </w:rPr>
              <w:t>Labor</w:t>
            </w:r>
          </w:p>
        </w:tc>
        <w:tc>
          <w:tcPr>
            <w:tcW w:w="1260" w:type="dxa"/>
            <w:vAlign w:val="center"/>
          </w:tcPr>
          <w:p w14:paraId="12BE40B5" w14:textId="77777777" w:rsidR="0032017A" w:rsidRPr="00725248" w:rsidRDefault="0032017A" w:rsidP="0032017A">
            <w:pPr>
              <w:jc w:val="center"/>
              <w:rPr>
                <w:color w:val="000000"/>
                <w:sz w:val="20"/>
                <w:szCs w:val="20"/>
              </w:rPr>
            </w:pPr>
            <w:r w:rsidRPr="00725248">
              <w:rPr>
                <w:color w:val="000000"/>
                <w:sz w:val="20"/>
                <w:szCs w:val="20"/>
              </w:rPr>
              <w:t>71,024,780</w:t>
            </w:r>
          </w:p>
        </w:tc>
        <w:tc>
          <w:tcPr>
            <w:tcW w:w="1170" w:type="dxa"/>
            <w:vAlign w:val="center"/>
          </w:tcPr>
          <w:p w14:paraId="27C518A0" w14:textId="77777777" w:rsidR="0032017A" w:rsidRPr="00725248" w:rsidRDefault="0032017A" w:rsidP="0032017A">
            <w:pPr>
              <w:jc w:val="center"/>
              <w:rPr>
                <w:color w:val="000000"/>
                <w:sz w:val="20"/>
                <w:szCs w:val="20"/>
              </w:rPr>
            </w:pPr>
            <w:r w:rsidRPr="00725248">
              <w:rPr>
                <w:color w:val="000000"/>
                <w:sz w:val="20"/>
                <w:szCs w:val="20"/>
              </w:rPr>
              <w:t>56,200,518</w:t>
            </w:r>
          </w:p>
        </w:tc>
        <w:tc>
          <w:tcPr>
            <w:tcW w:w="1170" w:type="dxa"/>
            <w:vAlign w:val="center"/>
          </w:tcPr>
          <w:p w14:paraId="04100396" w14:textId="739860D4" w:rsidR="0032017A" w:rsidRPr="00725248" w:rsidRDefault="0032017A" w:rsidP="0032017A">
            <w:pPr>
              <w:jc w:val="center"/>
              <w:rPr>
                <w:color w:val="000000"/>
                <w:sz w:val="20"/>
                <w:szCs w:val="20"/>
              </w:rPr>
            </w:pPr>
            <w:r w:rsidRPr="00725248">
              <w:rPr>
                <w:color w:val="000000"/>
                <w:sz w:val="20"/>
                <w:szCs w:val="20"/>
              </w:rPr>
              <w:t>40,651,339</w:t>
            </w:r>
          </w:p>
        </w:tc>
        <w:tc>
          <w:tcPr>
            <w:tcW w:w="1170" w:type="dxa"/>
            <w:vAlign w:val="center"/>
          </w:tcPr>
          <w:p w14:paraId="75665274" w14:textId="37C7A0DF" w:rsidR="0032017A" w:rsidRPr="00725248" w:rsidRDefault="0032017A" w:rsidP="0032017A">
            <w:pPr>
              <w:jc w:val="center"/>
              <w:rPr>
                <w:color w:val="000000"/>
                <w:sz w:val="20"/>
                <w:szCs w:val="20"/>
              </w:rPr>
            </w:pPr>
            <w:r w:rsidRPr="00725248">
              <w:rPr>
                <w:color w:val="000000"/>
                <w:sz w:val="20"/>
                <w:szCs w:val="20"/>
              </w:rPr>
              <w:t>38,020,303</w:t>
            </w:r>
          </w:p>
        </w:tc>
        <w:tc>
          <w:tcPr>
            <w:tcW w:w="1328" w:type="dxa"/>
            <w:vAlign w:val="center"/>
          </w:tcPr>
          <w:p w14:paraId="4F4E86CB" w14:textId="711314C0" w:rsidR="0032017A" w:rsidRPr="00725248" w:rsidRDefault="0032017A" w:rsidP="0032017A">
            <w:pPr>
              <w:jc w:val="center"/>
              <w:rPr>
                <w:color w:val="000000"/>
                <w:sz w:val="20"/>
                <w:szCs w:val="20"/>
              </w:rPr>
            </w:pPr>
            <w:r w:rsidRPr="00725248">
              <w:rPr>
                <w:color w:val="000000"/>
                <w:sz w:val="20"/>
                <w:szCs w:val="20"/>
              </w:rPr>
              <w:t>55,830,876</w:t>
            </w:r>
          </w:p>
        </w:tc>
        <w:tc>
          <w:tcPr>
            <w:tcW w:w="1170" w:type="dxa"/>
            <w:vAlign w:val="center"/>
          </w:tcPr>
          <w:p w14:paraId="1295FD54" w14:textId="77777777" w:rsidR="0032017A" w:rsidRPr="00725248" w:rsidRDefault="0032017A" w:rsidP="0032017A">
            <w:pPr>
              <w:jc w:val="center"/>
              <w:rPr>
                <w:color w:val="000000"/>
                <w:sz w:val="20"/>
                <w:szCs w:val="20"/>
              </w:rPr>
            </w:pPr>
            <w:r w:rsidRPr="00725248">
              <w:rPr>
                <w:color w:val="000000"/>
                <w:sz w:val="20"/>
                <w:szCs w:val="20"/>
              </w:rPr>
              <w:t>61,944,493</w:t>
            </w:r>
          </w:p>
        </w:tc>
        <w:tc>
          <w:tcPr>
            <w:tcW w:w="1260" w:type="dxa"/>
            <w:gridSpan w:val="2"/>
          </w:tcPr>
          <w:p w14:paraId="52CAE7E3" w14:textId="77777777" w:rsidR="0032017A" w:rsidRPr="00725248" w:rsidRDefault="0032017A" w:rsidP="0032017A">
            <w:pPr>
              <w:jc w:val="center"/>
              <w:rPr>
                <w:color w:val="000000"/>
                <w:sz w:val="20"/>
                <w:szCs w:val="20"/>
              </w:rPr>
            </w:pPr>
            <w:r w:rsidRPr="00725248">
              <w:rPr>
                <w:color w:val="000000"/>
                <w:sz w:val="20"/>
                <w:szCs w:val="20"/>
              </w:rPr>
              <w:t>323,672,309</w:t>
            </w:r>
          </w:p>
          <w:p w14:paraId="4D2EE421" w14:textId="77777777" w:rsidR="0032017A" w:rsidRPr="00725248" w:rsidRDefault="0032017A" w:rsidP="0032017A">
            <w:pPr>
              <w:jc w:val="center"/>
              <w:rPr>
                <w:color w:val="000000"/>
                <w:sz w:val="20"/>
                <w:szCs w:val="20"/>
              </w:rPr>
            </w:pPr>
            <w:r w:rsidRPr="00725248">
              <w:rPr>
                <w:color w:val="000000"/>
                <w:sz w:val="20"/>
                <w:szCs w:val="20"/>
              </w:rPr>
              <w:t>($22,794)</w:t>
            </w:r>
          </w:p>
        </w:tc>
      </w:tr>
      <w:tr w:rsidR="0032017A" w:rsidRPr="00DF278B" w14:paraId="1DAF0D35" w14:textId="77777777" w:rsidTr="00441B90">
        <w:trPr>
          <w:gridAfter w:val="1"/>
          <w:wAfter w:w="14" w:type="dxa"/>
        </w:trPr>
        <w:tc>
          <w:tcPr>
            <w:tcW w:w="1496" w:type="dxa"/>
            <w:vAlign w:val="center"/>
          </w:tcPr>
          <w:p w14:paraId="67D945F9" w14:textId="77777777" w:rsidR="0032017A" w:rsidRPr="00725248" w:rsidRDefault="0032017A" w:rsidP="0032017A">
            <w:pPr>
              <w:jc w:val="center"/>
              <w:rPr>
                <w:color w:val="000000"/>
                <w:sz w:val="20"/>
                <w:szCs w:val="20"/>
              </w:rPr>
            </w:pPr>
            <w:r w:rsidRPr="00725248">
              <w:rPr>
                <w:color w:val="000000"/>
                <w:sz w:val="20"/>
                <w:szCs w:val="20"/>
              </w:rPr>
              <w:t>Honorarium</w:t>
            </w:r>
          </w:p>
        </w:tc>
        <w:tc>
          <w:tcPr>
            <w:tcW w:w="1260" w:type="dxa"/>
            <w:vAlign w:val="center"/>
          </w:tcPr>
          <w:p w14:paraId="155E42B8" w14:textId="77777777" w:rsidR="0032017A" w:rsidRPr="00725248" w:rsidRDefault="0032017A" w:rsidP="0032017A">
            <w:pPr>
              <w:jc w:val="center"/>
              <w:rPr>
                <w:color w:val="000000"/>
                <w:sz w:val="20"/>
                <w:szCs w:val="20"/>
              </w:rPr>
            </w:pPr>
            <w:r w:rsidRPr="00725248">
              <w:rPr>
                <w:color w:val="000000"/>
                <w:sz w:val="20"/>
                <w:szCs w:val="20"/>
              </w:rPr>
              <w:t>13,600,000</w:t>
            </w:r>
          </w:p>
        </w:tc>
        <w:tc>
          <w:tcPr>
            <w:tcW w:w="1170" w:type="dxa"/>
            <w:vAlign w:val="center"/>
          </w:tcPr>
          <w:p w14:paraId="5C32377A" w14:textId="77777777" w:rsidR="0032017A" w:rsidRPr="00725248" w:rsidRDefault="0032017A" w:rsidP="0032017A">
            <w:pPr>
              <w:jc w:val="center"/>
              <w:rPr>
                <w:color w:val="000000"/>
                <w:sz w:val="20"/>
                <w:szCs w:val="20"/>
              </w:rPr>
            </w:pPr>
            <w:r w:rsidRPr="00725248">
              <w:rPr>
                <w:color w:val="000000"/>
                <w:sz w:val="20"/>
                <w:szCs w:val="20"/>
              </w:rPr>
              <w:t>10,800,000</w:t>
            </w:r>
          </w:p>
        </w:tc>
        <w:tc>
          <w:tcPr>
            <w:tcW w:w="1170" w:type="dxa"/>
            <w:vAlign w:val="center"/>
          </w:tcPr>
          <w:p w14:paraId="5A96400F" w14:textId="00736E98" w:rsidR="0032017A" w:rsidRPr="00725248" w:rsidRDefault="0032017A" w:rsidP="0032017A">
            <w:pPr>
              <w:jc w:val="center"/>
              <w:rPr>
                <w:color w:val="000000"/>
                <w:sz w:val="20"/>
                <w:szCs w:val="20"/>
              </w:rPr>
            </w:pPr>
            <w:r w:rsidRPr="00725248">
              <w:rPr>
                <w:color w:val="000000"/>
                <w:sz w:val="20"/>
                <w:szCs w:val="20"/>
              </w:rPr>
              <w:t>5,600,000</w:t>
            </w:r>
          </w:p>
        </w:tc>
        <w:tc>
          <w:tcPr>
            <w:tcW w:w="1170" w:type="dxa"/>
            <w:vAlign w:val="center"/>
          </w:tcPr>
          <w:p w14:paraId="512478C2" w14:textId="6766800D" w:rsidR="0032017A" w:rsidRPr="00725248" w:rsidRDefault="0032017A" w:rsidP="0032017A">
            <w:pPr>
              <w:jc w:val="center"/>
              <w:rPr>
                <w:color w:val="000000"/>
                <w:sz w:val="20"/>
                <w:szCs w:val="20"/>
              </w:rPr>
            </w:pPr>
            <w:r w:rsidRPr="00725248">
              <w:rPr>
                <w:color w:val="000000"/>
                <w:sz w:val="20"/>
                <w:szCs w:val="20"/>
              </w:rPr>
              <w:t>4,000,000</w:t>
            </w:r>
          </w:p>
        </w:tc>
        <w:tc>
          <w:tcPr>
            <w:tcW w:w="1328" w:type="dxa"/>
            <w:vAlign w:val="center"/>
          </w:tcPr>
          <w:p w14:paraId="0D872ABA" w14:textId="7176187C" w:rsidR="0032017A" w:rsidRPr="00725248" w:rsidRDefault="0032017A" w:rsidP="0032017A">
            <w:pPr>
              <w:jc w:val="center"/>
              <w:rPr>
                <w:color w:val="000000"/>
                <w:sz w:val="20"/>
                <w:szCs w:val="20"/>
              </w:rPr>
            </w:pPr>
            <w:r w:rsidRPr="00725248">
              <w:rPr>
                <w:color w:val="000000"/>
                <w:sz w:val="20"/>
                <w:szCs w:val="20"/>
              </w:rPr>
              <w:t>10,400,000</w:t>
            </w:r>
          </w:p>
        </w:tc>
        <w:tc>
          <w:tcPr>
            <w:tcW w:w="1170" w:type="dxa"/>
            <w:vAlign w:val="center"/>
          </w:tcPr>
          <w:p w14:paraId="157EC829" w14:textId="77777777" w:rsidR="0032017A" w:rsidRPr="00725248" w:rsidRDefault="0032017A" w:rsidP="0032017A">
            <w:pPr>
              <w:jc w:val="center"/>
              <w:rPr>
                <w:color w:val="000000"/>
                <w:sz w:val="20"/>
                <w:szCs w:val="20"/>
              </w:rPr>
            </w:pPr>
            <w:r w:rsidRPr="00725248">
              <w:rPr>
                <w:color w:val="000000"/>
                <w:sz w:val="20"/>
                <w:szCs w:val="20"/>
              </w:rPr>
              <w:t>12,000,000</w:t>
            </w:r>
          </w:p>
        </w:tc>
        <w:tc>
          <w:tcPr>
            <w:tcW w:w="1260" w:type="dxa"/>
            <w:gridSpan w:val="2"/>
          </w:tcPr>
          <w:p w14:paraId="49B6E1F5" w14:textId="77777777" w:rsidR="0032017A" w:rsidRPr="00725248" w:rsidRDefault="0032017A" w:rsidP="0032017A">
            <w:pPr>
              <w:jc w:val="center"/>
              <w:rPr>
                <w:color w:val="000000"/>
                <w:sz w:val="20"/>
                <w:szCs w:val="20"/>
              </w:rPr>
            </w:pPr>
            <w:r w:rsidRPr="00725248">
              <w:rPr>
                <w:color w:val="000000"/>
                <w:sz w:val="20"/>
                <w:szCs w:val="20"/>
              </w:rPr>
              <w:t>56,400,000</w:t>
            </w:r>
          </w:p>
          <w:p w14:paraId="08075E08" w14:textId="77777777" w:rsidR="0032017A" w:rsidRPr="00725248" w:rsidRDefault="0032017A" w:rsidP="0032017A">
            <w:pPr>
              <w:jc w:val="center"/>
              <w:rPr>
                <w:color w:val="000000"/>
                <w:sz w:val="20"/>
                <w:szCs w:val="20"/>
              </w:rPr>
            </w:pPr>
            <w:r w:rsidRPr="00725248">
              <w:rPr>
                <w:color w:val="000000"/>
                <w:sz w:val="20"/>
                <w:szCs w:val="20"/>
              </w:rPr>
              <w:t>($3,972)</w:t>
            </w:r>
          </w:p>
        </w:tc>
      </w:tr>
      <w:tr w:rsidR="0032017A" w:rsidRPr="00DF278B" w14:paraId="42D71EC6" w14:textId="77777777" w:rsidTr="00441B90">
        <w:trPr>
          <w:gridAfter w:val="1"/>
          <w:wAfter w:w="14" w:type="dxa"/>
        </w:trPr>
        <w:tc>
          <w:tcPr>
            <w:tcW w:w="1496" w:type="dxa"/>
            <w:vAlign w:val="center"/>
          </w:tcPr>
          <w:p w14:paraId="5F9A7BD9" w14:textId="77777777" w:rsidR="0032017A" w:rsidRPr="00725248" w:rsidRDefault="0032017A" w:rsidP="0032017A">
            <w:pPr>
              <w:jc w:val="center"/>
              <w:rPr>
                <w:color w:val="000000"/>
                <w:sz w:val="20"/>
                <w:szCs w:val="20"/>
              </w:rPr>
            </w:pPr>
            <w:r w:rsidRPr="00725248">
              <w:rPr>
                <w:color w:val="000000"/>
                <w:sz w:val="20"/>
                <w:szCs w:val="20"/>
              </w:rPr>
              <w:t>Meeting Packages</w:t>
            </w:r>
          </w:p>
        </w:tc>
        <w:tc>
          <w:tcPr>
            <w:tcW w:w="1260" w:type="dxa"/>
            <w:vAlign w:val="center"/>
          </w:tcPr>
          <w:p w14:paraId="448E2C9E" w14:textId="77777777" w:rsidR="0032017A" w:rsidRPr="00725248" w:rsidRDefault="0032017A" w:rsidP="0032017A">
            <w:pPr>
              <w:jc w:val="center"/>
              <w:rPr>
                <w:color w:val="000000"/>
                <w:sz w:val="20"/>
                <w:szCs w:val="20"/>
              </w:rPr>
            </w:pPr>
            <w:r w:rsidRPr="00725248">
              <w:rPr>
                <w:color w:val="000000"/>
                <w:sz w:val="20"/>
                <w:szCs w:val="20"/>
              </w:rPr>
              <w:t>84,349,055</w:t>
            </w:r>
          </w:p>
        </w:tc>
        <w:tc>
          <w:tcPr>
            <w:tcW w:w="1170" w:type="dxa"/>
            <w:vAlign w:val="center"/>
          </w:tcPr>
          <w:p w14:paraId="1D527BBF" w14:textId="77777777" w:rsidR="0032017A" w:rsidRPr="00725248" w:rsidRDefault="0032017A" w:rsidP="0032017A">
            <w:pPr>
              <w:jc w:val="center"/>
              <w:rPr>
                <w:color w:val="000000"/>
                <w:sz w:val="20"/>
                <w:szCs w:val="20"/>
              </w:rPr>
            </w:pPr>
            <w:r w:rsidRPr="00725248">
              <w:rPr>
                <w:color w:val="000000"/>
                <w:sz w:val="20"/>
                <w:szCs w:val="20"/>
              </w:rPr>
              <w:t>66,150,695</w:t>
            </w:r>
          </w:p>
        </w:tc>
        <w:tc>
          <w:tcPr>
            <w:tcW w:w="1170" w:type="dxa"/>
            <w:vAlign w:val="center"/>
          </w:tcPr>
          <w:p w14:paraId="5D06040D" w14:textId="624B73D3" w:rsidR="0032017A" w:rsidRPr="00725248" w:rsidRDefault="0032017A" w:rsidP="0032017A">
            <w:pPr>
              <w:jc w:val="center"/>
              <w:rPr>
                <w:color w:val="000000"/>
                <w:sz w:val="20"/>
                <w:szCs w:val="20"/>
              </w:rPr>
            </w:pPr>
            <w:r w:rsidRPr="00725248">
              <w:rPr>
                <w:color w:val="000000"/>
                <w:sz w:val="20"/>
                <w:szCs w:val="20"/>
              </w:rPr>
              <w:t>43,455,914</w:t>
            </w:r>
          </w:p>
        </w:tc>
        <w:tc>
          <w:tcPr>
            <w:tcW w:w="1170" w:type="dxa"/>
            <w:vAlign w:val="center"/>
          </w:tcPr>
          <w:p w14:paraId="4AD65F48" w14:textId="03A749B0" w:rsidR="0032017A" w:rsidRPr="00725248" w:rsidRDefault="0032017A" w:rsidP="0032017A">
            <w:pPr>
              <w:jc w:val="center"/>
              <w:rPr>
                <w:color w:val="000000"/>
                <w:sz w:val="20"/>
                <w:szCs w:val="20"/>
              </w:rPr>
            </w:pPr>
            <w:r w:rsidRPr="00725248">
              <w:rPr>
                <w:color w:val="000000"/>
                <w:sz w:val="20"/>
                <w:szCs w:val="20"/>
              </w:rPr>
              <w:t>38,549,948</w:t>
            </w:r>
          </w:p>
        </w:tc>
        <w:tc>
          <w:tcPr>
            <w:tcW w:w="1328" w:type="dxa"/>
            <w:vAlign w:val="center"/>
          </w:tcPr>
          <w:p w14:paraId="006219C5" w14:textId="7F39873C" w:rsidR="0032017A" w:rsidRPr="00725248" w:rsidRDefault="0032017A" w:rsidP="0032017A">
            <w:pPr>
              <w:jc w:val="center"/>
              <w:rPr>
                <w:color w:val="000000"/>
                <w:sz w:val="20"/>
                <w:szCs w:val="20"/>
              </w:rPr>
            </w:pPr>
            <w:r w:rsidRPr="00725248">
              <w:rPr>
                <w:color w:val="000000"/>
                <w:sz w:val="20"/>
                <w:szCs w:val="20"/>
              </w:rPr>
              <w:t>69,189,024</w:t>
            </w:r>
          </w:p>
        </w:tc>
        <w:tc>
          <w:tcPr>
            <w:tcW w:w="1170" w:type="dxa"/>
            <w:vAlign w:val="center"/>
          </w:tcPr>
          <w:p w14:paraId="4E8343B4" w14:textId="77777777" w:rsidR="0032017A" w:rsidRPr="00725248" w:rsidRDefault="0032017A" w:rsidP="0032017A">
            <w:pPr>
              <w:jc w:val="center"/>
              <w:rPr>
                <w:color w:val="000000"/>
                <w:sz w:val="20"/>
                <w:szCs w:val="20"/>
              </w:rPr>
            </w:pPr>
            <w:r w:rsidRPr="00725248">
              <w:rPr>
                <w:color w:val="000000"/>
                <w:sz w:val="20"/>
                <w:szCs w:val="20"/>
              </w:rPr>
              <w:t>77,556,163</w:t>
            </w:r>
          </w:p>
        </w:tc>
        <w:tc>
          <w:tcPr>
            <w:tcW w:w="1260" w:type="dxa"/>
            <w:gridSpan w:val="2"/>
            <w:vAlign w:val="center"/>
          </w:tcPr>
          <w:p w14:paraId="05CC0502" w14:textId="77777777" w:rsidR="0032017A" w:rsidRPr="00725248" w:rsidRDefault="0032017A" w:rsidP="0032017A">
            <w:pPr>
              <w:jc w:val="center"/>
              <w:rPr>
                <w:color w:val="000000"/>
                <w:sz w:val="20"/>
                <w:szCs w:val="20"/>
              </w:rPr>
            </w:pPr>
            <w:r w:rsidRPr="00725248">
              <w:rPr>
                <w:color w:val="000000"/>
                <w:sz w:val="20"/>
                <w:szCs w:val="20"/>
              </w:rPr>
              <w:t>379,250,800</w:t>
            </w:r>
          </w:p>
          <w:p w14:paraId="7EE8C4E9" w14:textId="77777777" w:rsidR="0032017A" w:rsidRPr="00725248" w:rsidRDefault="0032017A" w:rsidP="0032017A">
            <w:pPr>
              <w:jc w:val="center"/>
              <w:rPr>
                <w:color w:val="000000"/>
                <w:sz w:val="20"/>
                <w:szCs w:val="20"/>
              </w:rPr>
            </w:pPr>
            <w:r w:rsidRPr="00725248">
              <w:rPr>
                <w:color w:val="000000"/>
                <w:sz w:val="20"/>
                <w:szCs w:val="20"/>
              </w:rPr>
              <w:t>($26,708)</w:t>
            </w:r>
          </w:p>
        </w:tc>
      </w:tr>
      <w:tr w:rsidR="0032017A" w:rsidRPr="00DF278B" w14:paraId="6124C0DE" w14:textId="77777777" w:rsidTr="00441B90">
        <w:trPr>
          <w:gridAfter w:val="1"/>
          <w:wAfter w:w="14" w:type="dxa"/>
        </w:trPr>
        <w:tc>
          <w:tcPr>
            <w:tcW w:w="1496" w:type="dxa"/>
            <w:vAlign w:val="center"/>
          </w:tcPr>
          <w:p w14:paraId="51C45CC8" w14:textId="77777777" w:rsidR="0032017A" w:rsidRPr="00725248" w:rsidRDefault="0032017A" w:rsidP="0032017A">
            <w:pPr>
              <w:jc w:val="center"/>
              <w:rPr>
                <w:color w:val="000000"/>
                <w:sz w:val="20"/>
                <w:szCs w:val="20"/>
              </w:rPr>
            </w:pPr>
            <w:r w:rsidRPr="00725248">
              <w:rPr>
                <w:color w:val="000000"/>
                <w:sz w:val="20"/>
                <w:szCs w:val="20"/>
              </w:rPr>
              <w:t>Eyeglasses</w:t>
            </w:r>
          </w:p>
        </w:tc>
        <w:tc>
          <w:tcPr>
            <w:tcW w:w="1260" w:type="dxa"/>
            <w:vAlign w:val="center"/>
          </w:tcPr>
          <w:p w14:paraId="7528501A" w14:textId="77777777" w:rsidR="0032017A" w:rsidRPr="00725248" w:rsidRDefault="0032017A" w:rsidP="0032017A">
            <w:pPr>
              <w:jc w:val="center"/>
              <w:rPr>
                <w:color w:val="000000"/>
                <w:sz w:val="20"/>
                <w:szCs w:val="20"/>
              </w:rPr>
            </w:pPr>
            <w:r w:rsidRPr="00725248">
              <w:rPr>
                <w:color w:val="000000"/>
                <w:sz w:val="20"/>
                <w:szCs w:val="20"/>
              </w:rPr>
              <w:t>170,516,000</w:t>
            </w:r>
          </w:p>
        </w:tc>
        <w:tc>
          <w:tcPr>
            <w:tcW w:w="1170" w:type="dxa"/>
            <w:vAlign w:val="center"/>
          </w:tcPr>
          <w:p w14:paraId="2695E16B" w14:textId="77777777" w:rsidR="0032017A" w:rsidRPr="00725248" w:rsidRDefault="0032017A" w:rsidP="0032017A">
            <w:pPr>
              <w:jc w:val="center"/>
              <w:rPr>
                <w:color w:val="000000"/>
                <w:sz w:val="20"/>
                <w:szCs w:val="20"/>
              </w:rPr>
            </w:pPr>
            <w:r w:rsidRPr="00725248">
              <w:rPr>
                <w:color w:val="000000"/>
                <w:sz w:val="20"/>
                <w:szCs w:val="20"/>
              </w:rPr>
              <w:t>75,250,000</w:t>
            </w:r>
          </w:p>
        </w:tc>
        <w:tc>
          <w:tcPr>
            <w:tcW w:w="1170" w:type="dxa"/>
            <w:vAlign w:val="center"/>
          </w:tcPr>
          <w:p w14:paraId="5DED251B" w14:textId="43C284DB" w:rsidR="0032017A" w:rsidRPr="00725248" w:rsidRDefault="0032017A" w:rsidP="0032017A">
            <w:pPr>
              <w:jc w:val="center"/>
              <w:rPr>
                <w:color w:val="000000"/>
                <w:sz w:val="20"/>
                <w:szCs w:val="20"/>
              </w:rPr>
            </w:pPr>
            <w:r w:rsidRPr="00725248">
              <w:rPr>
                <w:color w:val="000000"/>
                <w:sz w:val="20"/>
                <w:szCs w:val="20"/>
              </w:rPr>
              <w:t>80,650,000</w:t>
            </w:r>
          </w:p>
        </w:tc>
        <w:tc>
          <w:tcPr>
            <w:tcW w:w="1170" w:type="dxa"/>
            <w:vAlign w:val="center"/>
          </w:tcPr>
          <w:p w14:paraId="6DB5718B" w14:textId="186FADF0" w:rsidR="0032017A" w:rsidRPr="00725248" w:rsidRDefault="0032017A" w:rsidP="0032017A">
            <w:pPr>
              <w:jc w:val="center"/>
              <w:rPr>
                <w:color w:val="000000"/>
                <w:sz w:val="20"/>
                <w:szCs w:val="20"/>
              </w:rPr>
            </w:pPr>
            <w:r w:rsidRPr="00725248">
              <w:rPr>
                <w:color w:val="000000"/>
                <w:sz w:val="20"/>
                <w:szCs w:val="20"/>
              </w:rPr>
              <w:t>99,900,000</w:t>
            </w:r>
          </w:p>
        </w:tc>
        <w:tc>
          <w:tcPr>
            <w:tcW w:w="1328" w:type="dxa"/>
            <w:vAlign w:val="center"/>
          </w:tcPr>
          <w:p w14:paraId="5EF595F8" w14:textId="1D1230F7" w:rsidR="0032017A" w:rsidRPr="00725248" w:rsidRDefault="0032017A" w:rsidP="0032017A">
            <w:pPr>
              <w:jc w:val="center"/>
              <w:rPr>
                <w:color w:val="000000"/>
                <w:sz w:val="20"/>
                <w:szCs w:val="20"/>
              </w:rPr>
            </w:pPr>
            <w:r w:rsidRPr="00725248">
              <w:rPr>
                <w:color w:val="000000"/>
                <w:sz w:val="20"/>
                <w:szCs w:val="20"/>
              </w:rPr>
              <w:t>97,287,500</w:t>
            </w:r>
          </w:p>
        </w:tc>
        <w:tc>
          <w:tcPr>
            <w:tcW w:w="1170" w:type="dxa"/>
            <w:vAlign w:val="center"/>
          </w:tcPr>
          <w:p w14:paraId="0E872B9B" w14:textId="77777777" w:rsidR="0032017A" w:rsidRPr="00725248" w:rsidRDefault="0032017A" w:rsidP="0032017A">
            <w:pPr>
              <w:jc w:val="center"/>
              <w:rPr>
                <w:color w:val="000000"/>
                <w:sz w:val="20"/>
                <w:szCs w:val="20"/>
              </w:rPr>
            </w:pPr>
            <w:r w:rsidRPr="00725248">
              <w:rPr>
                <w:color w:val="000000"/>
                <w:sz w:val="20"/>
                <w:szCs w:val="20"/>
              </w:rPr>
              <w:t>26,162,500</w:t>
            </w:r>
          </w:p>
        </w:tc>
        <w:tc>
          <w:tcPr>
            <w:tcW w:w="1260" w:type="dxa"/>
            <w:gridSpan w:val="2"/>
          </w:tcPr>
          <w:p w14:paraId="7E308E76" w14:textId="77777777" w:rsidR="0032017A" w:rsidRPr="00725248" w:rsidRDefault="0032017A" w:rsidP="0032017A">
            <w:pPr>
              <w:jc w:val="center"/>
              <w:rPr>
                <w:color w:val="000000"/>
                <w:sz w:val="20"/>
                <w:szCs w:val="20"/>
              </w:rPr>
            </w:pPr>
            <w:r w:rsidRPr="00725248">
              <w:rPr>
                <w:color w:val="000000"/>
                <w:sz w:val="20"/>
                <w:szCs w:val="20"/>
              </w:rPr>
              <w:t>549,766,000</w:t>
            </w:r>
          </w:p>
          <w:p w14:paraId="27D63E67" w14:textId="77777777" w:rsidR="0032017A" w:rsidRPr="00725248" w:rsidRDefault="0032017A" w:rsidP="0032017A">
            <w:pPr>
              <w:jc w:val="center"/>
              <w:rPr>
                <w:color w:val="000000"/>
                <w:sz w:val="20"/>
                <w:szCs w:val="20"/>
              </w:rPr>
            </w:pPr>
            <w:r w:rsidRPr="00725248">
              <w:rPr>
                <w:color w:val="000000"/>
                <w:sz w:val="20"/>
                <w:szCs w:val="20"/>
              </w:rPr>
              <w:t>($38,716)</w:t>
            </w:r>
          </w:p>
        </w:tc>
      </w:tr>
      <w:tr w:rsidR="0032017A" w:rsidRPr="00DF278B" w14:paraId="17DE7A0B" w14:textId="77777777" w:rsidTr="00441B90">
        <w:trPr>
          <w:gridAfter w:val="1"/>
          <w:wAfter w:w="14" w:type="dxa"/>
          <w:trHeight w:val="278"/>
        </w:trPr>
        <w:tc>
          <w:tcPr>
            <w:tcW w:w="1496" w:type="dxa"/>
            <w:vAlign w:val="center"/>
          </w:tcPr>
          <w:p w14:paraId="5A08017A" w14:textId="77777777" w:rsidR="0032017A" w:rsidRPr="00725248" w:rsidRDefault="0032017A" w:rsidP="0032017A">
            <w:pPr>
              <w:jc w:val="center"/>
              <w:rPr>
                <w:color w:val="000000"/>
                <w:sz w:val="20"/>
                <w:szCs w:val="20"/>
              </w:rPr>
            </w:pPr>
            <w:r w:rsidRPr="00725248">
              <w:rPr>
                <w:color w:val="000000"/>
                <w:sz w:val="20"/>
                <w:szCs w:val="20"/>
              </w:rPr>
              <w:t>Travel</w:t>
            </w:r>
          </w:p>
        </w:tc>
        <w:tc>
          <w:tcPr>
            <w:tcW w:w="1260" w:type="dxa"/>
            <w:vAlign w:val="center"/>
          </w:tcPr>
          <w:p w14:paraId="002D96B1" w14:textId="77777777" w:rsidR="0032017A" w:rsidRPr="00725248" w:rsidRDefault="0032017A" w:rsidP="0032017A">
            <w:pPr>
              <w:jc w:val="center"/>
              <w:rPr>
                <w:color w:val="000000"/>
                <w:sz w:val="20"/>
                <w:szCs w:val="20"/>
              </w:rPr>
            </w:pPr>
            <w:r w:rsidRPr="00725248">
              <w:rPr>
                <w:color w:val="000000"/>
                <w:sz w:val="20"/>
                <w:szCs w:val="20"/>
              </w:rPr>
              <w:t>16,005,318</w:t>
            </w:r>
          </w:p>
        </w:tc>
        <w:tc>
          <w:tcPr>
            <w:tcW w:w="1170" w:type="dxa"/>
            <w:vAlign w:val="center"/>
          </w:tcPr>
          <w:p w14:paraId="6FFAB0F5" w14:textId="77777777" w:rsidR="0032017A" w:rsidRPr="00725248" w:rsidRDefault="0032017A" w:rsidP="0032017A">
            <w:pPr>
              <w:jc w:val="center"/>
              <w:rPr>
                <w:color w:val="000000"/>
                <w:sz w:val="20"/>
                <w:szCs w:val="20"/>
              </w:rPr>
            </w:pPr>
            <w:r w:rsidRPr="00725248">
              <w:rPr>
                <w:color w:val="000000"/>
                <w:sz w:val="20"/>
                <w:szCs w:val="20"/>
              </w:rPr>
              <w:t>13,838,234</w:t>
            </w:r>
          </w:p>
        </w:tc>
        <w:tc>
          <w:tcPr>
            <w:tcW w:w="1170" w:type="dxa"/>
            <w:vAlign w:val="center"/>
          </w:tcPr>
          <w:p w14:paraId="62C6A208" w14:textId="0F7084A4" w:rsidR="0032017A" w:rsidRPr="00725248" w:rsidRDefault="0032017A" w:rsidP="0032017A">
            <w:pPr>
              <w:jc w:val="center"/>
              <w:rPr>
                <w:color w:val="000000"/>
                <w:sz w:val="20"/>
                <w:szCs w:val="20"/>
              </w:rPr>
            </w:pPr>
            <w:r w:rsidRPr="00725248">
              <w:rPr>
                <w:color w:val="000000"/>
                <w:sz w:val="20"/>
                <w:szCs w:val="20"/>
              </w:rPr>
              <w:t>10,810,149</w:t>
            </w:r>
          </w:p>
        </w:tc>
        <w:tc>
          <w:tcPr>
            <w:tcW w:w="1170" w:type="dxa"/>
            <w:vAlign w:val="center"/>
          </w:tcPr>
          <w:p w14:paraId="7942F581" w14:textId="6A9D40BF" w:rsidR="0032017A" w:rsidRPr="00725248" w:rsidRDefault="0032017A" w:rsidP="0032017A">
            <w:pPr>
              <w:jc w:val="center"/>
              <w:rPr>
                <w:color w:val="000000"/>
                <w:sz w:val="20"/>
                <w:szCs w:val="20"/>
              </w:rPr>
            </w:pPr>
            <w:r w:rsidRPr="00725248">
              <w:rPr>
                <w:color w:val="000000"/>
                <w:sz w:val="20"/>
                <w:szCs w:val="20"/>
              </w:rPr>
              <w:t>9,986,074</w:t>
            </w:r>
          </w:p>
        </w:tc>
        <w:tc>
          <w:tcPr>
            <w:tcW w:w="1328" w:type="dxa"/>
            <w:vAlign w:val="center"/>
          </w:tcPr>
          <w:p w14:paraId="7F638ABB" w14:textId="64D1E18C" w:rsidR="0032017A" w:rsidRPr="00725248" w:rsidRDefault="0032017A" w:rsidP="0032017A">
            <w:pPr>
              <w:jc w:val="center"/>
              <w:rPr>
                <w:color w:val="000000"/>
                <w:sz w:val="20"/>
                <w:szCs w:val="20"/>
              </w:rPr>
            </w:pPr>
            <w:r w:rsidRPr="00725248">
              <w:rPr>
                <w:color w:val="000000"/>
                <w:sz w:val="20"/>
                <w:szCs w:val="20"/>
              </w:rPr>
              <w:t>14,273,595</w:t>
            </w:r>
          </w:p>
        </w:tc>
        <w:tc>
          <w:tcPr>
            <w:tcW w:w="1170" w:type="dxa"/>
            <w:vAlign w:val="center"/>
          </w:tcPr>
          <w:p w14:paraId="28CE2D88" w14:textId="77777777" w:rsidR="0032017A" w:rsidRPr="00725248" w:rsidRDefault="0032017A" w:rsidP="0032017A">
            <w:pPr>
              <w:jc w:val="center"/>
              <w:rPr>
                <w:color w:val="000000"/>
                <w:sz w:val="20"/>
                <w:szCs w:val="20"/>
              </w:rPr>
            </w:pPr>
            <w:r w:rsidRPr="00725248">
              <w:rPr>
                <w:color w:val="000000"/>
                <w:sz w:val="20"/>
                <w:szCs w:val="20"/>
              </w:rPr>
              <w:t>15,185,130</w:t>
            </w:r>
          </w:p>
        </w:tc>
        <w:tc>
          <w:tcPr>
            <w:tcW w:w="1260" w:type="dxa"/>
            <w:gridSpan w:val="2"/>
          </w:tcPr>
          <w:p w14:paraId="462554C6" w14:textId="77777777" w:rsidR="0032017A" w:rsidRPr="00725248" w:rsidRDefault="0032017A" w:rsidP="0032017A">
            <w:pPr>
              <w:jc w:val="center"/>
              <w:rPr>
                <w:color w:val="000000"/>
                <w:sz w:val="20"/>
                <w:szCs w:val="20"/>
              </w:rPr>
            </w:pPr>
            <w:r w:rsidRPr="00725248">
              <w:rPr>
                <w:color w:val="000000"/>
                <w:sz w:val="20"/>
                <w:szCs w:val="20"/>
              </w:rPr>
              <w:t>80,098,500</w:t>
            </w:r>
          </w:p>
          <w:p w14:paraId="21320B0B" w14:textId="77777777" w:rsidR="0032017A" w:rsidRPr="00725248" w:rsidRDefault="0032017A" w:rsidP="0032017A">
            <w:pPr>
              <w:jc w:val="center"/>
              <w:rPr>
                <w:color w:val="000000"/>
                <w:sz w:val="20"/>
                <w:szCs w:val="20"/>
              </w:rPr>
            </w:pPr>
            <w:r w:rsidRPr="00725248">
              <w:rPr>
                <w:color w:val="000000"/>
                <w:sz w:val="20"/>
                <w:szCs w:val="20"/>
              </w:rPr>
              <w:t>($5,641)</w:t>
            </w:r>
          </w:p>
        </w:tc>
      </w:tr>
    </w:tbl>
    <w:p w14:paraId="650C78E1" w14:textId="4CFCB1B1" w:rsidR="00DB3309" w:rsidRPr="00DF278B" w:rsidRDefault="00DB3309">
      <w:pPr>
        <w:rPr>
          <w:b/>
          <w:bCs/>
        </w:rPr>
      </w:pPr>
      <w:r w:rsidRPr="00DF278B">
        <w:rPr>
          <w:i/>
          <w:iCs/>
          <w:sz w:val="20"/>
          <w:szCs w:val="20"/>
        </w:rPr>
        <w:t>Note: Costs are presented in IDR unless otherwise specified</w:t>
      </w:r>
      <w:r w:rsidRPr="00DF278B">
        <w:rPr>
          <w:b/>
          <w:bCs/>
        </w:rPr>
        <w:br w:type="page"/>
      </w:r>
    </w:p>
    <w:p w14:paraId="69F82DE9" w14:textId="77777777" w:rsidR="00DB3309" w:rsidRPr="00DF278B" w:rsidRDefault="00DB3309" w:rsidP="00DB3309">
      <w:pPr>
        <w:rPr>
          <w:b/>
          <w:bCs/>
        </w:rPr>
      </w:pPr>
      <w:r w:rsidRPr="00DF278B">
        <w:rPr>
          <w:b/>
          <w:bCs/>
        </w:rPr>
        <w:lastRenderedPageBreak/>
        <w:t>Table 3a: Cost-Effectiveness in Districts with School-Based Refraction Services (Makassar, Gowa, Palopo, Parepare)</w:t>
      </w:r>
    </w:p>
    <w:p w14:paraId="71062F50" w14:textId="77777777" w:rsidR="00DB3309" w:rsidRPr="00DF278B" w:rsidRDefault="00DB3309" w:rsidP="00DB3309">
      <w:pPr>
        <w:rPr>
          <w:b/>
          <w:bCs/>
        </w:rPr>
      </w:pPr>
    </w:p>
    <w:tbl>
      <w:tblPr>
        <w:tblStyle w:val="TableGrid"/>
        <w:tblW w:w="7465" w:type="dxa"/>
        <w:tblLook w:val="04A0" w:firstRow="1" w:lastRow="0" w:firstColumn="1" w:lastColumn="0" w:noHBand="0" w:noVBand="1"/>
      </w:tblPr>
      <w:tblGrid>
        <w:gridCol w:w="1824"/>
        <w:gridCol w:w="1145"/>
        <w:gridCol w:w="940"/>
        <w:gridCol w:w="1054"/>
        <w:gridCol w:w="1253"/>
        <w:gridCol w:w="1249"/>
      </w:tblGrid>
      <w:tr w:rsidR="00DB3309" w:rsidRPr="00DF278B" w14:paraId="66D5DC76" w14:textId="77777777" w:rsidTr="00441B90">
        <w:trPr>
          <w:trHeight w:val="274"/>
        </w:trPr>
        <w:tc>
          <w:tcPr>
            <w:tcW w:w="1852" w:type="dxa"/>
            <w:shd w:val="clear" w:color="auto" w:fill="D9D9D9" w:themeFill="background1" w:themeFillShade="D9"/>
          </w:tcPr>
          <w:p w14:paraId="155210F1" w14:textId="77777777" w:rsidR="00DB3309" w:rsidRPr="00725248" w:rsidRDefault="00DB3309" w:rsidP="006A1B75">
            <w:pPr>
              <w:jc w:val="center"/>
              <w:rPr>
                <w:b/>
                <w:bCs/>
                <w:color w:val="000000"/>
                <w:sz w:val="22"/>
                <w:szCs w:val="22"/>
              </w:rPr>
            </w:pPr>
            <w:r w:rsidRPr="00725248">
              <w:rPr>
                <w:b/>
                <w:bCs/>
                <w:color w:val="000000"/>
                <w:sz w:val="22"/>
                <w:szCs w:val="22"/>
              </w:rPr>
              <w:t>Outcome</w:t>
            </w:r>
          </w:p>
        </w:tc>
        <w:tc>
          <w:tcPr>
            <w:tcW w:w="1094" w:type="dxa"/>
            <w:shd w:val="clear" w:color="auto" w:fill="D9D9D9" w:themeFill="background1" w:themeFillShade="D9"/>
          </w:tcPr>
          <w:p w14:paraId="0860B137" w14:textId="77777777" w:rsidR="00DB3309" w:rsidRPr="00725248" w:rsidRDefault="00DB3309" w:rsidP="006A1B75">
            <w:pPr>
              <w:jc w:val="center"/>
              <w:rPr>
                <w:b/>
                <w:bCs/>
                <w:color w:val="000000"/>
                <w:sz w:val="22"/>
                <w:szCs w:val="22"/>
              </w:rPr>
            </w:pPr>
            <w:r w:rsidRPr="00725248">
              <w:rPr>
                <w:b/>
                <w:bCs/>
                <w:color w:val="000000"/>
                <w:sz w:val="22"/>
                <w:szCs w:val="22"/>
              </w:rPr>
              <w:t>Makassar</w:t>
            </w:r>
          </w:p>
        </w:tc>
        <w:tc>
          <w:tcPr>
            <w:tcW w:w="940" w:type="dxa"/>
            <w:shd w:val="clear" w:color="auto" w:fill="D9D9D9" w:themeFill="background1" w:themeFillShade="D9"/>
          </w:tcPr>
          <w:p w14:paraId="007B3F49" w14:textId="77777777" w:rsidR="00DB3309" w:rsidRPr="00725248" w:rsidRDefault="00DB3309" w:rsidP="006A1B75">
            <w:pPr>
              <w:jc w:val="center"/>
              <w:rPr>
                <w:b/>
                <w:bCs/>
                <w:color w:val="000000"/>
                <w:sz w:val="22"/>
                <w:szCs w:val="22"/>
              </w:rPr>
            </w:pPr>
            <w:r w:rsidRPr="00725248">
              <w:rPr>
                <w:b/>
                <w:bCs/>
                <w:color w:val="000000"/>
                <w:sz w:val="22"/>
                <w:szCs w:val="22"/>
              </w:rPr>
              <w:t>Gowa</w:t>
            </w:r>
          </w:p>
        </w:tc>
        <w:tc>
          <w:tcPr>
            <w:tcW w:w="1059" w:type="dxa"/>
            <w:shd w:val="clear" w:color="auto" w:fill="D9D9D9" w:themeFill="background1" w:themeFillShade="D9"/>
          </w:tcPr>
          <w:p w14:paraId="13377EC2" w14:textId="77777777" w:rsidR="00DB3309" w:rsidRPr="00725248" w:rsidRDefault="00DB3309" w:rsidP="006A1B75">
            <w:pPr>
              <w:jc w:val="center"/>
              <w:rPr>
                <w:b/>
                <w:bCs/>
                <w:color w:val="000000"/>
                <w:sz w:val="22"/>
                <w:szCs w:val="22"/>
              </w:rPr>
            </w:pPr>
            <w:r w:rsidRPr="00725248">
              <w:rPr>
                <w:b/>
                <w:bCs/>
                <w:color w:val="000000"/>
                <w:sz w:val="22"/>
                <w:szCs w:val="22"/>
              </w:rPr>
              <w:t>Palopo</w:t>
            </w:r>
          </w:p>
        </w:tc>
        <w:tc>
          <w:tcPr>
            <w:tcW w:w="1260" w:type="dxa"/>
            <w:shd w:val="clear" w:color="auto" w:fill="D9D9D9" w:themeFill="background1" w:themeFillShade="D9"/>
          </w:tcPr>
          <w:p w14:paraId="53068489" w14:textId="77777777" w:rsidR="00DB3309" w:rsidRPr="00725248" w:rsidRDefault="00DB3309" w:rsidP="006A1B75">
            <w:pPr>
              <w:jc w:val="center"/>
              <w:rPr>
                <w:b/>
                <w:bCs/>
                <w:color w:val="000000"/>
                <w:sz w:val="22"/>
                <w:szCs w:val="22"/>
              </w:rPr>
            </w:pPr>
            <w:r w:rsidRPr="00725248">
              <w:rPr>
                <w:b/>
                <w:bCs/>
                <w:color w:val="000000"/>
                <w:sz w:val="22"/>
                <w:szCs w:val="22"/>
              </w:rPr>
              <w:t>Parepare</w:t>
            </w:r>
          </w:p>
        </w:tc>
        <w:tc>
          <w:tcPr>
            <w:tcW w:w="1260" w:type="dxa"/>
            <w:shd w:val="clear" w:color="auto" w:fill="D9D9D9" w:themeFill="background1" w:themeFillShade="D9"/>
          </w:tcPr>
          <w:p w14:paraId="3C17599E" w14:textId="77777777" w:rsidR="00DB3309" w:rsidRPr="00725248" w:rsidRDefault="00DB3309" w:rsidP="006A1B75">
            <w:pPr>
              <w:jc w:val="center"/>
              <w:rPr>
                <w:b/>
                <w:bCs/>
                <w:color w:val="000000"/>
                <w:sz w:val="22"/>
                <w:szCs w:val="22"/>
              </w:rPr>
            </w:pPr>
            <w:r w:rsidRPr="00725248">
              <w:rPr>
                <w:b/>
                <w:bCs/>
                <w:color w:val="000000"/>
                <w:sz w:val="22"/>
                <w:szCs w:val="22"/>
              </w:rPr>
              <w:t>Total (IDR)</w:t>
            </w:r>
          </w:p>
        </w:tc>
      </w:tr>
      <w:tr w:rsidR="00DB3309" w:rsidRPr="00DF278B" w14:paraId="0D21182F" w14:textId="77777777" w:rsidTr="006A1B75">
        <w:trPr>
          <w:trHeight w:val="539"/>
        </w:trPr>
        <w:tc>
          <w:tcPr>
            <w:tcW w:w="1852" w:type="dxa"/>
          </w:tcPr>
          <w:p w14:paraId="35778172" w14:textId="77777777" w:rsidR="00DB3309" w:rsidRPr="00725248" w:rsidRDefault="00DB3309" w:rsidP="006A1B75">
            <w:pPr>
              <w:jc w:val="center"/>
              <w:rPr>
                <w:color w:val="000000"/>
                <w:sz w:val="22"/>
                <w:szCs w:val="22"/>
              </w:rPr>
            </w:pPr>
            <w:r w:rsidRPr="00725248">
              <w:rPr>
                <w:color w:val="000000"/>
                <w:sz w:val="22"/>
                <w:szCs w:val="22"/>
              </w:rPr>
              <w:t>Cost per Student Screened</w:t>
            </w:r>
          </w:p>
        </w:tc>
        <w:tc>
          <w:tcPr>
            <w:tcW w:w="1094" w:type="dxa"/>
            <w:vAlign w:val="center"/>
          </w:tcPr>
          <w:p w14:paraId="44ADBF71" w14:textId="77777777" w:rsidR="00DB3309" w:rsidRPr="00725248" w:rsidRDefault="00DB3309" w:rsidP="006A1B75">
            <w:pPr>
              <w:jc w:val="center"/>
              <w:rPr>
                <w:color w:val="000000"/>
                <w:sz w:val="22"/>
                <w:szCs w:val="22"/>
              </w:rPr>
            </w:pPr>
            <w:r w:rsidRPr="00725248">
              <w:rPr>
                <w:color w:val="000000"/>
                <w:sz w:val="22"/>
                <w:szCs w:val="22"/>
              </w:rPr>
              <w:t>43,169</w:t>
            </w:r>
          </w:p>
        </w:tc>
        <w:tc>
          <w:tcPr>
            <w:tcW w:w="940" w:type="dxa"/>
            <w:vAlign w:val="center"/>
          </w:tcPr>
          <w:p w14:paraId="58962166" w14:textId="77777777" w:rsidR="00DB3309" w:rsidRPr="00725248" w:rsidRDefault="00DB3309" w:rsidP="006A1B75">
            <w:pPr>
              <w:jc w:val="center"/>
              <w:rPr>
                <w:color w:val="000000"/>
                <w:sz w:val="22"/>
                <w:szCs w:val="22"/>
              </w:rPr>
            </w:pPr>
            <w:r w:rsidRPr="00725248">
              <w:rPr>
                <w:color w:val="000000"/>
                <w:sz w:val="22"/>
                <w:szCs w:val="22"/>
              </w:rPr>
              <w:t>31,213</w:t>
            </w:r>
          </w:p>
        </w:tc>
        <w:tc>
          <w:tcPr>
            <w:tcW w:w="1059" w:type="dxa"/>
            <w:vAlign w:val="center"/>
          </w:tcPr>
          <w:p w14:paraId="128C2D9C" w14:textId="77777777" w:rsidR="00DB3309" w:rsidRPr="00725248" w:rsidRDefault="00DB3309" w:rsidP="006A1B75">
            <w:pPr>
              <w:jc w:val="center"/>
              <w:rPr>
                <w:color w:val="000000"/>
                <w:sz w:val="22"/>
                <w:szCs w:val="22"/>
              </w:rPr>
            </w:pPr>
            <w:r w:rsidRPr="00725248">
              <w:rPr>
                <w:color w:val="000000"/>
                <w:sz w:val="22"/>
                <w:szCs w:val="22"/>
              </w:rPr>
              <w:t>32,572</w:t>
            </w:r>
          </w:p>
        </w:tc>
        <w:tc>
          <w:tcPr>
            <w:tcW w:w="1260" w:type="dxa"/>
            <w:vAlign w:val="center"/>
          </w:tcPr>
          <w:p w14:paraId="26BE6E33" w14:textId="77777777" w:rsidR="00DB3309" w:rsidRPr="00725248" w:rsidRDefault="00DB3309" w:rsidP="006A1B75">
            <w:pPr>
              <w:jc w:val="center"/>
              <w:rPr>
                <w:color w:val="000000"/>
                <w:sz w:val="22"/>
                <w:szCs w:val="22"/>
              </w:rPr>
            </w:pPr>
            <w:r w:rsidRPr="00725248">
              <w:rPr>
                <w:color w:val="000000"/>
                <w:sz w:val="22"/>
                <w:szCs w:val="22"/>
              </w:rPr>
              <w:t>37,068</w:t>
            </w:r>
          </w:p>
        </w:tc>
        <w:tc>
          <w:tcPr>
            <w:tcW w:w="1260" w:type="dxa"/>
          </w:tcPr>
          <w:p w14:paraId="72965AAA" w14:textId="77777777" w:rsidR="00DB3309" w:rsidRPr="00725248" w:rsidRDefault="00DB3309" w:rsidP="006A1B75">
            <w:pPr>
              <w:jc w:val="center"/>
              <w:rPr>
                <w:color w:val="000000"/>
                <w:sz w:val="22"/>
                <w:szCs w:val="22"/>
              </w:rPr>
            </w:pPr>
            <w:r w:rsidRPr="00725248">
              <w:rPr>
                <w:color w:val="000000"/>
                <w:sz w:val="22"/>
                <w:szCs w:val="22"/>
              </w:rPr>
              <w:t>36,437 ($2.57)</w:t>
            </w:r>
          </w:p>
        </w:tc>
      </w:tr>
      <w:tr w:rsidR="00DB3309" w:rsidRPr="00DF278B" w14:paraId="1E241F0B" w14:textId="77777777" w:rsidTr="006A1B75">
        <w:trPr>
          <w:trHeight w:val="548"/>
        </w:trPr>
        <w:tc>
          <w:tcPr>
            <w:tcW w:w="1852" w:type="dxa"/>
          </w:tcPr>
          <w:p w14:paraId="49A97041" w14:textId="77777777" w:rsidR="00DB3309" w:rsidRPr="00725248" w:rsidRDefault="00DB3309" w:rsidP="006A1B75">
            <w:pPr>
              <w:jc w:val="center"/>
              <w:rPr>
                <w:color w:val="000000"/>
                <w:sz w:val="22"/>
                <w:szCs w:val="22"/>
              </w:rPr>
            </w:pPr>
            <w:r w:rsidRPr="00725248">
              <w:rPr>
                <w:color w:val="000000"/>
                <w:sz w:val="22"/>
                <w:szCs w:val="22"/>
              </w:rPr>
              <w:t xml:space="preserve">Cost per Student Refracted </w:t>
            </w:r>
          </w:p>
        </w:tc>
        <w:tc>
          <w:tcPr>
            <w:tcW w:w="1094" w:type="dxa"/>
            <w:vAlign w:val="center"/>
          </w:tcPr>
          <w:p w14:paraId="04445BC3" w14:textId="77777777" w:rsidR="00DB3309" w:rsidRPr="00725248" w:rsidRDefault="00DB3309" w:rsidP="006A1B75">
            <w:pPr>
              <w:jc w:val="center"/>
              <w:rPr>
                <w:color w:val="000000"/>
                <w:sz w:val="22"/>
                <w:szCs w:val="22"/>
              </w:rPr>
            </w:pPr>
            <w:r w:rsidRPr="00725248">
              <w:rPr>
                <w:color w:val="000000"/>
                <w:sz w:val="22"/>
                <w:szCs w:val="22"/>
              </w:rPr>
              <w:t>360,909</w:t>
            </w:r>
          </w:p>
        </w:tc>
        <w:tc>
          <w:tcPr>
            <w:tcW w:w="940" w:type="dxa"/>
            <w:vAlign w:val="center"/>
          </w:tcPr>
          <w:p w14:paraId="4D80FBC4" w14:textId="77777777" w:rsidR="00DB3309" w:rsidRPr="00725248" w:rsidRDefault="00DB3309" w:rsidP="006A1B75">
            <w:pPr>
              <w:jc w:val="center"/>
              <w:rPr>
                <w:color w:val="000000"/>
                <w:sz w:val="22"/>
                <w:szCs w:val="22"/>
              </w:rPr>
            </w:pPr>
            <w:r w:rsidRPr="00725248">
              <w:rPr>
                <w:color w:val="000000"/>
                <w:sz w:val="22"/>
                <w:szCs w:val="22"/>
              </w:rPr>
              <w:t>532,948</w:t>
            </w:r>
          </w:p>
        </w:tc>
        <w:tc>
          <w:tcPr>
            <w:tcW w:w="1059" w:type="dxa"/>
            <w:vAlign w:val="center"/>
          </w:tcPr>
          <w:p w14:paraId="68476352" w14:textId="77777777" w:rsidR="00DB3309" w:rsidRPr="00725248" w:rsidRDefault="00DB3309" w:rsidP="006A1B75">
            <w:pPr>
              <w:jc w:val="center"/>
              <w:rPr>
                <w:color w:val="000000"/>
                <w:sz w:val="22"/>
                <w:szCs w:val="22"/>
              </w:rPr>
            </w:pPr>
            <w:r w:rsidRPr="00725248">
              <w:rPr>
                <w:color w:val="000000"/>
                <w:sz w:val="22"/>
                <w:szCs w:val="22"/>
              </w:rPr>
              <w:t>548,992</w:t>
            </w:r>
          </w:p>
        </w:tc>
        <w:tc>
          <w:tcPr>
            <w:tcW w:w="1260" w:type="dxa"/>
            <w:vAlign w:val="center"/>
          </w:tcPr>
          <w:p w14:paraId="15BA27D2" w14:textId="77777777" w:rsidR="00DB3309" w:rsidRPr="00725248" w:rsidRDefault="00DB3309" w:rsidP="006A1B75">
            <w:pPr>
              <w:jc w:val="center"/>
              <w:rPr>
                <w:color w:val="000000"/>
                <w:sz w:val="22"/>
                <w:szCs w:val="22"/>
              </w:rPr>
            </w:pPr>
            <w:r w:rsidRPr="00725248">
              <w:rPr>
                <w:color w:val="000000"/>
                <w:sz w:val="22"/>
                <w:szCs w:val="22"/>
              </w:rPr>
              <w:t>473,772</w:t>
            </w:r>
          </w:p>
        </w:tc>
        <w:tc>
          <w:tcPr>
            <w:tcW w:w="1260" w:type="dxa"/>
          </w:tcPr>
          <w:p w14:paraId="21964D67" w14:textId="77777777" w:rsidR="00DB3309" w:rsidRPr="00725248" w:rsidRDefault="00DB3309" w:rsidP="006A1B75">
            <w:pPr>
              <w:jc w:val="center"/>
              <w:rPr>
                <w:color w:val="000000"/>
                <w:sz w:val="22"/>
                <w:szCs w:val="22"/>
              </w:rPr>
            </w:pPr>
            <w:r w:rsidRPr="00725248">
              <w:rPr>
                <w:color w:val="000000"/>
                <w:sz w:val="22"/>
                <w:szCs w:val="22"/>
              </w:rPr>
              <w:t>444,873 ($31.33)</w:t>
            </w:r>
          </w:p>
        </w:tc>
      </w:tr>
      <w:tr w:rsidR="00DB3309" w:rsidRPr="00DF278B" w14:paraId="6E355854" w14:textId="77777777" w:rsidTr="006A1B75">
        <w:trPr>
          <w:trHeight w:val="607"/>
        </w:trPr>
        <w:tc>
          <w:tcPr>
            <w:tcW w:w="1852" w:type="dxa"/>
          </w:tcPr>
          <w:p w14:paraId="6AC7AC6E" w14:textId="77777777" w:rsidR="00DB3309" w:rsidRPr="00725248" w:rsidRDefault="00DB3309" w:rsidP="006A1B75">
            <w:pPr>
              <w:jc w:val="center"/>
              <w:rPr>
                <w:color w:val="000000"/>
                <w:sz w:val="22"/>
                <w:szCs w:val="22"/>
              </w:rPr>
            </w:pPr>
            <w:r w:rsidRPr="00725248">
              <w:rPr>
                <w:color w:val="000000"/>
                <w:sz w:val="22"/>
                <w:szCs w:val="22"/>
              </w:rPr>
              <w:t xml:space="preserve">Cost per Student Receiving Glasses </w:t>
            </w:r>
          </w:p>
        </w:tc>
        <w:tc>
          <w:tcPr>
            <w:tcW w:w="1094" w:type="dxa"/>
            <w:vAlign w:val="center"/>
          </w:tcPr>
          <w:p w14:paraId="092EE416" w14:textId="77777777" w:rsidR="00DB3309" w:rsidRPr="00725248" w:rsidRDefault="00DB3309" w:rsidP="006A1B75">
            <w:pPr>
              <w:jc w:val="center"/>
              <w:rPr>
                <w:color w:val="000000"/>
                <w:sz w:val="22"/>
                <w:szCs w:val="22"/>
              </w:rPr>
            </w:pPr>
            <w:r w:rsidRPr="00725248">
              <w:rPr>
                <w:color w:val="000000"/>
                <w:sz w:val="22"/>
                <w:szCs w:val="22"/>
              </w:rPr>
              <w:t>461,682</w:t>
            </w:r>
          </w:p>
        </w:tc>
        <w:tc>
          <w:tcPr>
            <w:tcW w:w="940" w:type="dxa"/>
            <w:vAlign w:val="center"/>
          </w:tcPr>
          <w:p w14:paraId="66F0D7A9" w14:textId="77777777" w:rsidR="00DB3309" w:rsidRPr="00725248" w:rsidRDefault="00DB3309" w:rsidP="006A1B75">
            <w:pPr>
              <w:jc w:val="center"/>
              <w:rPr>
                <w:color w:val="000000"/>
                <w:sz w:val="22"/>
                <w:szCs w:val="22"/>
              </w:rPr>
            </w:pPr>
            <w:r w:rsidRPr="00725248">
              <w:rPr>
                <w:color w:val="000000"/>
                <w:sz w:val="22"/>
                <w:szCs w:val="22"/>
              </w:rPr>
              <w:t>966,258</w:t>
            </w:r>
          </w:p>
        </w:tc>
        <w:tc>
          <w:tcPr>
            <w:tcW w:w="1059" w:type="dxa"/>
            <w:vAlign w:val="center"/>
          </w:tcPr>
          <w:p w14:paraId="408E6D06" w14:textId="77777777" w:rsidR="00DB3309" w:rsidRPr="00725248" w:rsidRDefault="00DB3309" w:rsidP="006A1B75">
            <w:pPr>
              <w:jc w:val="center"/>
              <w:rPr>
                <w:color w:val="000000"/>
                <w:sz w:val="22"/>
                <w:szCs w:val="22"/>
              </w:rPr>
            </w:pPr>
            <w:r w:rsidRPr="00725248">
              <w:rPr>
                <w:color w:val="000000"/>
                <w:sz w:val="22"/>
                <w:szCs w:val="22"/>
              </w:rPr>
              <w:t>658,791</w:t>
            </w:r>
          </w:p>
        </w:tc>
        <w:tc>
          <w:tcPr>
            <w:tcW w:w="1260" w:type="dxa"/>
            <w:vAlign w:val="center"/>
          </w:tcPr>
          <w:p w14:paraId="32F957F9" w14:textId="77777777" w:rsidR="00DB3309" w:rsidRPr="00725248" w:rsidRDefault="00DB3309" w:rsidP="006A1B75">
            <w:pPr>
              <w:jc w:val="center"/>
              <w:rPr>
                <w:color w:val="000000"/>
                <w:sz w:val="22"/>
                <w:szCs w:val="22"/>
              </w:rPr>
            </w:pPr>
            <w:r w:rsidRPr="00725248">
              <w:rPr>
                <w:color w:val="000000"/>
                <w:sz w:val="22"/>
                <w:szCs w:val="22"/>
              </w:rPr>
              <w:t>560,166</w:t>
            </w:r>
          </w:p>
        </w:tc>
        <w:tc>
          <w:tcPr>
            <w:tcW w:w="1260" w:type="dxa"/>
          </w:tcPr>
          <w:p w14:paraId="22B0A84D" w14:textId="77777777" w:rsidR="00DB3309" w:rsidRPr="00725248" w:rsidRDefault="00DB3309" w:rsidP="006A1B75">
            <w:pPr>
              <w:jc w:val="center"/>
              <w:rPr>
                <w:color w:val="000000"/>
                <w:sz w:val="22"/>
                <w:szCs w:val="22"/>
              </w:rPr>
            </w:pPr>
            <w:r w:rsidRPr="00725248">
              <w:rPr>
                <w:color w:val="000000"/>
                <w:sz w:val="22"/>
                <w:szCs w:val="22"/>
              </w:rPr>
              <w:t>587,838 ($41.40)</w:t>
            </w:r>
          </w:p>
        </w:tc>
      </w:tr>
    </w:tbl>
    <w:p w14:paraId="0F8A7DDD" w14:textId="77777777" w:rsidR="00DB3309" w:rsidRPr="00DF278B" w:rsidRDefault="00DB3309" w:rsidP="00DB3309">
      <w:pPr>
        <w:rPr>
          <w:b/>
          <w:bCs/>
        </w:rPr>
      </w:pPr>
      <w:r w:rsidRPr="00DF278B">
        <w:rPr>
          <w:i/>
          <w:iCs/>
          <w:sz w:val="20"/>
          <w:szCs w:val="20"/>
        </w:rPr>
        <w:t>Note: Costs are presented in IDR unless otherwise specified</w:t>
      </w:r>
    </w:p>
    <w:p w14:paraId="4F0B37C3" w14:textId="77777777" w:rsidR="00DB3309" w:rsidRPr="00DF278B" w:rsidRDefault="00DB3309" w:rsidP="00DB3309">
      <w:pPr>
        <w:rPr>
          <w:b/>
          <w:bCs/>
        </w:rPr>
      </w:pPr>
    </w:p>
    <w:p w14:paraId="7C6721AE" w14:textId="77777777" w:rsidR="00DB3309" w:rsidRPr="00DF278B" w:rsidRDefault="00DB3309" w:rsidP="00DB3309">
      <w:r w:rsidRPr="00DF278B">
        <w:rPr>
          <w:b/>
          <w:bCs/>
        </w:rPr>
        <w:t>Table 3b: Cost-Effectiveness in Districts with Central Refraction Services (Bone and Bulukumba)</w:t>
      </w:r>
    </w:p>
    <w:tbl>
      <w:tblPr>
        <w:tblStyle w:val="TableGrid"/>
        <w:tblW w:w="0" w:type="auto"/>
        <w:tblLook w:val="04A0" w:firstRow="1" w:lastRow="0" w:firstColumn="1" w:lastColumn="0" w:noHBand="0" w:noVBand="1"/>
      </w:tblPr>
      <w:tblGrid>
        <w:gridCol w:w="1795"/>
        <w:gridCol w:w="1350"/>
        <w:gridCol w:w="1530"/>
        <w:gridCol w:w="1104"/>
      </w:tblGrid>
      <w:tr w:rsidR="00DB3309" w:rsidRPr="00DF278B" w14:paraId="37077F50" w14:textId="77777777" w:rsidTr="00441B90">
        <w:tc>
          <w:tcPr>
            <w:tcW w:w="1795" w:type="dxa"/>
            <w:shd w:val="clear" w:color="auto" w:fill="D9D9D9" w:themeFill="background1" w:themeFillShade="D9"/>
            <w:vAlign w:val="bottom"/>
          </w:tcPr>
          <w:p w14:paraId="1B841B5B" w14:textId="77777777" w:rsidR="00DB3309" w:rsidRPr="00725248" w:rsidRDefault="00DB3309" w:rsidP="006A1B75">
            <w:pPr>
              <w:rPr>
                <w:b/>
                <w:bCs/>
                <w:color w:val="000000"/>
                <w:sz w:val="22"/>
                <w:szCs w:val="22"/>
              </w:rPr>
            </w:pPr>
            <w:r w:rsidRPr="00725248">
              <w:rPr>
                <w:b/>
                <w:bCs/>
                <w:color w:val="000000"/>
                <w:sz w:val="22"/>
                <w:szCs w:val="22"/>
              </w:rPr>
              <w:t>Metric</w:t>
            </w:r>
          </w:p>
        </w:tc>
        <w:tc>
          <w:tcPr>
            <w:tcW w:w="1350" w:type="dxa"/>
            <w:shd w:val="clear" w:color="auto" w:fill="D9D9D9" w:themeFill="background1" w:themeFillShade="D9"/>
            <w:vAlign w:val="bottom"/>
          </w:tcPr>
          <w:p w14:paraId="361A3160" w14:textId="77777777" w:rsidR="00DB3309" w:rsidRPr="00725248" w:rsidRDefault="00DB3309" w:rsidP="006A1B75">
            <w:pPr>
              <w:jc w:val="center"/>
              <w:rPr>
                <w:b/>
                <w:bCs/>
                <w:color w:val="000000"/>
                <w:sz w:val="22"/>
                <w:szCs w:val="22"/>
              </w:rPr>
            </w:pPr>
            <w:r w:rsidRPr="00725248">
              <w:rPr>
                <w:b/>
                <w:bCs/>
                <w:color w:val="000000"/>
                <w:sz w:val="22"/>
                <w:szCs w:val="22"/>
              </w:rPr>
              <w:t>Bulukumba</w:t>
            </w:r>
          </w:p>
        </w:tc>
        <w:tc>
          <w:tcPr>
            <w:tcW w:w="1530" w:type="dxa"/>
            <w:shd w:val="clear" w:color="auto" w:fill="D9D9D9" w:themeFill="background1" w:themeFillShade="D9"/>
            <w:vAlign w:val="bottom"/>
          </w:tcPr>
          <w:p w14:paraId="25E4F603" w14:textId="77777777" w:rsidR="00DB3309" w:rsidRPr="00725248" w:rsidRDefault="00DB3309" w:rsidP="006A1B75">
            <w:pPr>
              <w:jc w:val="center"/>
              <w:rPr>
                <w:b/>
                <w:bCs/>
                <w:color w:val="000000"/>
                <w:sz w:val="22"/>
                <w:szCs w:val="22"/>
              </w:rPr>
            </w:pPr>
            <w:r w:rsidRPr="00725248">
              <w:rPr>
                <w:b/>
                <w:bCs/>
                <w:color w:val="000000"/>
                <w:sz w:val="22"/>
                <w:szCs w:val="22"/>
              </w:rPr>
              <w:t>Bone</w:t>
            </w:r>
          </w:p>
        </w:tc>
        <w:tc>
          <w:tcPr>
            <w:tcW w:w="1104" w:type="dxa"/>
            <w:shd w:val="clear" w:color="auto" w:fill="D9D9D9" w:themeFill="background1" w:themeFillShade="D9"/>
            <w:vAlign w:val="bottom"/>
          </w:tcPr>
          <w:p w14:paraId="5BBE852A" w14:textId="77777777" w:rsidR="00DB3309" w:rsidRPr="00725248" w:rsidRDefault="00DB3309" w:rsidP="006A1B75">
            <w:pPr>
              <w:jc w:val="center"/>
              <w:rPr>
                <w:b/>
                <w:bCs/>
                <w:color w:val="000000"/>
                <w:sz w:val="22"/>
                <w:szCs w:val="22"/>
              </w:rPr>
            </w:pPr>
            <w:r w:rsidRPr="00725248">
              <w:rPr>
                <w:b/>
                <w:bCs/>
                <w:color w:val="000000"/>
                <w:sz w:val="22"/>
                <w:szCs w:val="22"/>
              </w:rPr>
              <w:t>Total</w:t>
            </w:r>
          </w:p>
        </w:tc>
      </w:tr>
      <w:tr w:rsidR="00DB3309" w:rsidRPr="00DF278B" w14:paraId="057733B0" w14:textId="77777777" w:rsidTr="006A1B75">
        <w:tc>
          <w:tcPr>
            <w:tcW w:w="1795" w:type="dxa"/>
          </w:tcPr>
          <w:p w14:paraId="35ABFED9" w14:textId="77777777" w:rsidR="00DB3309" w:rsidRPr="00725248" w:rsidRDefault="00DB3309" w:rsidP="006A1B75">
            <w:pPr>
              <w:jc w:val="center"/>
              <w:rPr>
                <w:color w:val="000000"/>
                <w:sz w:val="22"/>
                <w:szCs w:val="22"/>
              </w:rPr>
            </w:pPr>
            <w:r w:rsidRPr="00725248">
              <w:rPr>
                <w:color w:val="000000"/>
                <w:sz w:val="22"/>
                <w:szCs w:val="22"/>
              </w:rPr>
              <w:t>Cost per Student Screened</w:t>
            </w:r>
          </w:p>
        </w:tc>
        <w:tc>
          <w:tcPr>
            <w:tcW w:w="1350" w:type="dxa"/>
            <w:vAlign w:val="center"/>
          </w:tcPr>
          <w:p w14:paraId="225C9C0E" w14:textId="77777777" w:rsidR="00DB3309" w:rsidRPr="00725248" w:rsidRDefault="00DB3309" w:rsidP="006A1B75">
            <w:pPr>
              <w:jc w:val="center"/>
              <w:rPr>
                <w:color w:val="000000"/>
                <w:sz w:val="22"/>
                <w:szCs w:val="22"/>
              </w:rPr>
            </w:pPr>
            <w:r w:rsidRPr="00725248">
              <w:rPr>
                <w:color w:val="000000"/>
                <w:sz w:val="22"/>
                <w:szCs w:val="22"/>
              </w:rPr>
              <w:t>33,630</w:t>
            </w:r>
          </w:p>
        </w:tc>
        <w:tc>
          <w:tcPr>
            <w:tcW w:w="1530" w:type="dxa"/>
            <w:vAlign w:val="center"/>
          </w:tcPr>
          <w:p w14:paraId="55DB9B07" w14:textId="77777777" w:rsidR="00DB3309" w:rsidRPr="00725248" w:rsidRDefault="00DB3309" w:rsidP="006A1B75">
            <w:pPr>
              <w:jc w:val="center"/>
              <w:rPr>
                <w:color w:val="000000"/>
                <w:sz w:val="22"/>
                <w:szCs w:val="22"/>
              </w:rPr>
            </w:pPr>
            <w:r w:rsidRPr="00725248">
              <w:rPr>
                <w:color w:val="000000"/>
                <w:sz w:val="22"/>
                <w:szCs w:val="22"/>
              </w:rPr>
              <w:t>24,683</w:t>
            </w:r>
          </w:p>
        </w:tc>
        <w:tc>
          <w:tcPr>
            <w:tcW w:w="1104" w:type="dxa"/>
            <w:vAlign w:val="center"/>
          </w:tcPr>
          <w:p w14:paraId="64D7427E" w14:textId="77777777" w:rsidR="00DB3309" w:rsidRPr="00725248" w:rsidRDefault="00DB3309" w:rsidP="006A1B75">
            <w:pPr>
              <w:jc w:val="center"/>
              <w:rPr>
                <w:color w:val="000000"/>
                <w:sz w:val="22"/>
                <w:szCs w:val="22"/>
              </w:rPr>
            </w:pPr>
            <w:r w:rsidRPr="00725248">
              <w:rPr>
                <w:color w:val="000000"/>
                <w:sz w:val="22"/>
                <w:szCs w:val="22"/>
              </w:rPr>
              <w:t>29,018</w:t>
            </w:r>
          </w:p>
          <w:p w14:paraId="311ECBA5" w14:textId="77777777" w:rsidR="00DB3309" w:rsidRPr="00725248" w:rsidRDefault="00DB3309" w:rsidP="006A1B75">
            <w:pPr>
              <w:jc w:val="center"/>
              <w:rPr>
                <w:color w:val="000000"/>
                <w:sz w:val="22"/>
                <w:szCs w:val="22"/>
              </w:rPr>
            </w:pPr>
            <w:r w:rsidRPr="00725248">
              <w:rPr>
                <w:color w:val="000000"/>
                <w:sz w:val="22"/>
                <w:szCs w:val="22"/>
              </w:rPr>
              <w:t>($2.04)</w:t>
            </w:r>
          </w:p>
        </w:tc>
      </w:tr>
      <w:tr w:rsidR="00DB3309" w:rsidRPr="00DF278B" w14:paraId="03011DAE" w14:textId="77777777" w:rsidTr="006A1B75">
        <w:tc>
          <w:tcPr>
            <w:tcW w:w="1795" w:type="dxa"/>
          </w:tcPr>
          <w:p w14:paraId="4906AA00" w14:textId="77777777" w:rsidR="00DB3309" w:rsidRPr="00725248" w:rsidRDefault="00DB3309" w:rsidP="006A1B75">
            <w:pPr>
              <w:jc w:val="center"/>
              <w:rPr>
                <w:color w:val="000000"/>
                <w:sz w:val="22"/>
                <w:szCs w:val="22"/>
              </w:rPr>
            </w:pPr>
            <w:r w:rsidRPr="00725248">
              <w:rPr>
                <w:color w:val="000000"/>
                <w:sz w:val="22"/>
                <w:szCs w:val="22"/>
              </w:rPr>
              <w:t>Cost per Student Refracted</w:t>
            </w:r>
          </w:p>
        </w:tc>
        <w:tc>
          <w:tcPr>
            <w:tcW w:w="1350" w:type="dxa"/>
            <w:vAlign w:val="center"/>
          </w:tcPr>
          <w:p w14:paraId="1FB48B48" w14:textId="77777777" w:rsidR="00DB3309" w:rsidRPr="00725248" w:rsidRDefault="00DB3309" w:rsidP="006A1B75">
            <w:pPr>
              <w:jc w:val="center"/>
              <w:rPr>
                <w:color w:val="000000"/>
                <w:sz w:val="22"/>
                <w:szCs w:val="22"/>
              </w:rPr>
            </w:pPr>
            <w:r w:rsidRPr="00725248">
              <w:rPr>
                <w:color w:val="000000"/>
                <w:sz w:val="22"/>
                <w:szCs w:val="22"/>
              </w:rPr>
              <w:t>595,135</w:t>
            </w:r>
          </w:p>
        </w:tc>
        <w:tc>
          <w:tcPr>
            <w:tcW w:w="1530" w:type="dxa"/>
            <w:vAlign w:val="center"/>
          </w:tcPr>
          <w:p w14:paraId="6C50155B" w14:textId="77777777" w:rsidR="00DB3309" w:rsidRPr="00725248" w:rsidRDefault="00DB3309" w:rsidP="006A1B75">
            <w:pPr>
              <w:jc w:val="center"/>
              <w:rPr>
                <w:color w:val="000000"/>
                <w:sz w:val="22"/>
                <w:szCs w:val="22"/>
              </w:rPr>
            </w:pPr>
            <w:r w:rsidRPr="00725248">
              <w:rPr>
                <w:color w:val="000000"/>
                <w:sz w:val="22"/>
                <w:szCs w:val="22"/>
              </w:rPr>
              <w:t>1,872,313</w:t>
            </w:r>
          </w:p>
        </w:tc>
        <w:tc>
          <w:tcPr>
            <w:tcW w:w="1104" w:type="dxa"/>
            <w:vAlign w:val="center"/>
          </w:tcPr>
          <w:p w14:paraId="575039D8" w14:textId="77777777" w:rsidR="00DB3309" w:rsidRPr="00725248" w:rsidRDefault="00DB3309" w:rsidP="006A1B75">
            <w:pPr>
              <w:jc w:val="center"/>
              <w:rPr>
                <w:color w:val="000000"/>
                <w:sz w:val="22"/>
                <w:szCs w:val="22"/>
              </w:rPr>
            </w:pPr>
            <w:r w:rsidRPr="00725248">
              <w:rPr>
                <w:color w:val="000000"/>
                <w:sz w:val="22"/>
                <w:szCs w:val="22"/>
              </w:rPr>
              <w:t>849,091</w:t>
            </w:r>
          </w:p>
          <w:p w14:paraId="3BC801FD" w14:textId="77777777" w:rsidR="00DB3309" w:rsidRPr="00725248" w:rsidRDefault="00DB3309" w:rsidP="006A1B75">
            <w:pPr>
              <w:jc w:val="center"/>
              <w:rPr>
                <w:color w:val="000000"/>
                <w:sz w:val="22"/>
                <w:szCs w:val="22"/>
              </w:rPr>
            </w:pPr>
            <w:r w:rsidRPr="00725248">
              <w:rPr>
                <w:color w:val="000000"/>
                <w:sz w:val="22"/>
                <w:szCs w:val="22"/>
              </w:rPr>
              <w:t>($59.80)</w:t>
            </w:r>
          </w:p>
        </w:tc>
      </w:tr>
      <w:tr w:rsidR="00DB3309" w:rsidRPr="00DF278B" w14:paraId="237CA2EA" w14:textId="77777777" w:rsidTr="006A1B75">
        <w:tc>
          <w:tcPr>
            <w:tcW w:w="1795" w:type="dxa"/>
          </w:tcPr>
          <w:p w14:paraId="5CDC5CB9" w14:textId="77777777" w:rsidR="00DB3309" w:rsidRPr="00725248" w:rsidRDefault="00DB3309" w:rsidP="006A1B75">
            <w:pPr>
              <w:jc w:val="center"/>
              <w:rPr>
                <w:color w:val="000000"/>
                <w:sz w:val="22"/>
                <w:szCs w:val="22"/>
              </w:rPr>
            </w:pPr>
            <w:r w:rsidRPr="00725248">
              <w:rPr>
                <w:color w:val="000000"/>
                <w:sz w:val="22"/>
                <w:szCs w:val="22"/>
              </w:rPr>
              <w:t>Cost per Student Receiving Glasses</w:t>
            </w:r>
          </w:p>
        </w:tc>
        <w:tc>
          <w:tcPr>
            <w:tcW w:w="1350" w:type="dxa"/>
            <w:vAlign w:val="center"/>
          </w:tcPr>
          <w:p w14:paraId="0CDE0E1D" w14:textId="77777777" w:rsidR="00DB3309" w:rsidRPr="00725248" w:rsidRDefault="00DB3309" w:rsidP="006A1B75">
            <w:pPr>
              <w:jc w:val="center"/>
              <w:rPr>
                <w:color w:val="000000"/>
                <w:sz w:val="22"/>
                <w:szCs w:val="22"/>
              </w:rPr>
            </w:pPr>
            <w:r w:rsidRPr="00725248">
              <w:rPr>
                <w:color w:val="000000"/>
                <w:sz w:val="22"/>
                <w:szCs w:val="22"/>
              </w:rPr>
              <w:t>735,062</w:t>
            </w:r>
          </w:p>
        </w:tc>
        <w:tc>
          <w:tcPr>
            <w:tcW w:w="1530" w:type="dxa"/>
            <w:vAlign w:val="center"/>
          </w:tcPr>
          <w:p w14:paraId="3DD01E0A" w14:textId="77777777" w:rsidR="00DB3309" w:rsidRPr="00725248" w:rsidRDefault="00DB3309" w:rsidP="006A1B75">
            <w:pPr>
              <w:jc w:val="center"/>
              <w:rPr>
                <w:color w:val="000000"/>
                <w:sz w:val="22"/>
                <w:szCs w:val="22"/>
              </w:rPr>
            </w:pPr>
            <w:r w:rsidRPr="00725248">
              <w:rPr>
                <w:color w:val="000000"/>
                <w:sz w:val="22"/>
                <w:szCs w:val="22"/>
              </w:rPr>
              <w:t>2,216,647</w:t>
            </w:r>
          </w:p>
        </w:tc>
        <w:tc>
          <w:tcPr>
            <w:tcW w:w="1104" w:type="dxa"/>
            <w:vAlign w:val="center"/>
          </w:tcPr>
          <w:p w14:paraId="741D459D" w14:textId="77777777" w:rsidR="00DB3309" w:rsidRPr="00725248" w:rsidRDefault="00DB3309" w:rsidP="006A1B75">
            <w:pPr>
              <w:jc w:val="center"/>
              <w:rPr>
                <w:color w:val="000000"/>
                <w:sz w:val="22"/>
                <w:szCs w:val="22"/>
              </w:rPr>
            </w:pPr>
            <w:r w:rsidRPr="00725248">
              <w:rPr>
                <w:color w:val="000000"/>
                <w:sz w:val="22"/>
                <w:szCs w:val="22"/>
              </w:rPr>
              <w:t>1,039,786</w:t>
            </w:r>
          </w:p>
          <w:p w14:paraId="22048C07" w14:textId="77777777" w:rsidR="00DB3309" w:rsidRPr="00725248" w:rsidRDefault="00DB3309" w:rsidP="006A1B75">
            <w:pPr>
              <w:jc w:val="center"/>
              <w:rPr>
                <w:color w:val="000000"/>
                <w:sz w:val="22"/>
                <w:szCs w:val="22"/>
              </w:rPr>
            </w:pPr>
            <w:r w:rsidRPr="00725248">
              <w:rPr>
                <w:color w:val="000000"/>
                <w:sz w:val="22"/>
                <w:szCs w:val="22"/>
              </w:rPr>
              <w:t>($73.22)</w:t>
            </w:r>
          </w:p>
        </w:tc>
      </w:tr>
    </w:tbl>
    <w:p w14:paraId="7F82B196" w14:textId="77777777" w:rsidR="00DB3309" w:rsidRPr="00DF278B" w:rsidRDefault="00DB3309" w:rsidP="00DB3309">
      <w:pPr>
        <w:rPr>
          <w:b/>
          <w:bCs/>
        </w:rPr>
      </w:pPr>
      <w:r w:rsidRPr="00DF278B">
        <w:rPr>
          <w:i/>
          <w:iCs/>
          <w:sz w:val="20"/>
          <w:szCs w:val="20"/>
        </w:rPr>
        <w:t>Note: Costs are presented in IDR unless otherwise specified</w:t>
      </w:r>
    </w:p>
    <w:p w14:paraId="650C026D" w14:textId="77777777" w:rsidR="00DB3309" w:rsidRPr="00DF278B" w:rsidRDefault="00DB3309" w:rsidP="008622A6">
      <w:pPr>
        <w:rPr>
          <w:b/>
          <w:bCs/>
        </w:rPr>
      </w:pPr>
    </w:p>
    <w:p w14:paraId="10377FB0" w14:textId="53E3CBBD" w:rsidR="008622A6" w:rsidRPr="00DF278B" w:rsidRDefault="008622A6" w:rsidP="008622A6">
      <w:r w:rsidRPr="00DF278B">
        <w:rPr>
          <w:b/>
          <w:bCs/>
        </w:rPr>
        <w:t>Supplemental Table 1: Categorization of Program Costs</w:t>
      </w:r>
    </w:p>
    <w:tbl>
      <w:tblPr>
        <w:tblStyle w:val="TableGrid"/>
        <w:tblW w:w="0" w:type="auto"/>
        <w:tblLook w:val="04A0" w:firstRow="1" w:lastRow="0" w:firstColumn="1" w:lastColumn="0" w:noHBand="0" w:noVBand="1"/>
      </w:tblPr>
      <w:tblGrid>
        <w:gridCol w:w="2245"/>
        <w:gridCol w:w="2770"/>
      </w:tblGrid>
      <w:tr w:rsidR="008622A6" w:rsidRPr="00DF278B" w14:paraId="3CEE916A" w14:textId="77777777" w:rsidTr="00441B90">
        <w:tc>
          <w:tcPr>
            <w:tcW w:w="2245" w:type="dxa"/>
            <w:shd w:val="clear" w:color="auto" w:fill="D9D9D9" w:themeFill="background1" w:themeFillShade="D9"/>
          </w:tcPr>
          <w:p w14:paraId="3C2A3584" w14:textId="77777777" w:rsidR="008622A6" w:rsidRPr="00DF278B" w:rsidRDefault="008622A6" w:rsidP="006A1B75">
            <w:pPr>
              <w:rPr>
                <w:b/>
                <w:bCs/>
              </w:rPr>
            </w:pPr>
            <w:r w:rsidRPr="00DF278B">
              <w:rPr>
                <w:b/>
                <w:bCs/>
              </w:rPr>
              <w:t>Program Initiatives</w:t>
            </w:r>
          </w:p>
        </w:tc>
        <w:tc>
          <w:tcPr>
            <w:tcW w:w="2770" w:type="dxa"/>
            <w:shd w:val="clear" w:color="auto" w:fill="D9D9D9" w:themeFill="background1" w:themeFillShade="D9"/>
          </w:tcPr>
          <w:p w14:paraId="3A53D3BB" w14:textId="77777777" w:rsidR="008622A6" w:rsidRPr="00DF278B" w:rsidRDefault="008622A6" w:rsidP="006A1B75">
            <w:pPr>
              <w:rPr>
                <w:b/>
                <w:bCs/>
              </w:rPr>
            </w:pPr>
            <w:r w:rsidRPr="00DF278B">
              <w:rPr>
                <w:b/>
                <w:bCs/>
              </w:rPr>
              <w:t>Expenditure Categories</w:t>
            </w:r>
          </w:p>
        </w:tc>
      </w:tr>
      <w:tr w:rsidR="008622A6" w:rsidRPr="00DF278B" w14:paraId="11A70A43" w14:textId="77777777" w:rsidTr="00441B90">
        <w:tc>
          <w:tcPr>
            <w:tcW w:w="2245" w:type="dxa"/>
          </w:tcPr>
          <w:p w14:paraId="274D593D" w14:textId="77777777" w:rsidR="008622A6" w:rsidRPr="00DF278B" w:rsidRDefault="008622A6" w:rsidP="006A1B75">
            <w:r w:rsidRPr="00DF278B">
              <w:t>Sensitization</w:t>
            </w:r>
          </w:p>
        </w:tc>
        <w:tc>
          <w:tcPr>
            <w:tcW w:w="2770" w:type="dxa"/>
          </w:tcPr>
          <w:p w14:paraId="5D6548CF" w14:textId="77777777" w:rsidR="008622A6" w:rsidRPr="00DF278B" w:rsidRDefault="008622A6" w:rsidP="006A1B75">
            <w:r w:rsidRPr="00DF278B">
              <w:t>Labor</w:t>
            </w:r>
          </w:p>
        </w:tc>
      </w:tr>
      <w:tr w:rsidR="008622A6" w:rsidRPr="00DF278B" w14:paraId="7EFFA783" w14:textId="77777777" w:rsidTr="00441B90">
        <w:tc>
          <w:tcPr>
            <w:tcW w:w="2245" w:type="dxa"/>
          </w:tcPr>
          <w:p w14:paraId="504176BE" w14:textId="77777777" w:rsidR="008622A6" w:rsidRPr="00DF278B" w:rsidRDefault="008622A6" w:rsidP="006A1B75">
            <w:r w:rsidRPr="00DF278B">
              <w:t>Training</w:t>
            </w:r>
          </w:p>
        </w:tc>
        <w:tc>
          <w:tcPr>
            <w:tcW w:w="2770" w:type="dxa"/>
          </w:tcPr>
          <w:p w14:paraId="7A753F05" w14:textId="77777777" w:rsidR="008622A6" w:rsidRPr="00DF278B" w:rsidRDefault="008622A6" w:rsidP="006A1B75">
            <w:r w:rsidRPr="00DF278B">
              <w:t>Honorariums</w:t>
            </w:r>
          </w:p>
        </w:tc>
      </w:tr>
      <w:tr w:rsidR="008622A6" w:rsidRPr="00DF278B" w14:paraId="55D268A0" w14:textId="77777777" w:rsidTr="00441B90">
        <w:tc>
          <w:tcPr>
            <w:tcW w:w="2245" w:type="dxa"/>
          </w:tcPr>
          <w:p w14:paraId="30CA40CE" w14:textId="77777777" w:rsidR="008622A6" w:rsidRPr="00DF278B" w:rsidRDefault="008622A6" w:rsidP="006A1B75">
            <w:r w:rsidRPr="00DF278B">
              <w:t>Service Delivery</w:t>
            </w:r>
          </w:p>
        </w:tc>
        <w:tc>
          <w:tcPr>
            <w:tcW w:w="2770" w:type="dxa"/>
          </w:tcPr>
          <w:p w14:paraId="5A24EE2F" w14:textId="77777777" w:rsidR="008622A6" w:rsidRPr="00DF278B" w:rsidRDefault="008622A6" w:rsidP="006A1B75">
            <w:r w:rsidRPr="00DF278B">
              <w:t>Meeting Packages</w:t>
            </w:r>
          </w:p>
        </w:tc>
      </w:tr>
      <w:tr w:rsidR="008622A6" w:rsidRPr="00DF278B" w14:paraId="1CBB2747" w14:textId="77777777" w:rsidTr="00441B90">
        <w:tc>
          <w:tcPr>
            <w:tcW w:w="2245" w:type="dxa"/>
            <w:tcBorders>
              <w:bottom w:val="single" w:sz="4" w:space="0" w:color="auto"/>
            </w:tcBorders>
          </w:tcPr>
          <w:p w14:paraId="04049D04" w14:textId="77777777" w:rsidR="008622A6" w:rsidRPr="00DF278B" w:rsidRDefault="008622A6" w:rsidP="006A1B75">
            <w:r w:rsidRPr="00DF278B">
              <w:t>HKI Programming</w:t>
            </w:r>
          </w:p>
        </w:tc>
        <w:tc>
          <w:tcPr>
            <w:tcW w:w="2770" w:type="dxa"/>
          </w:tcPr>
          <w:p w14:paraId="40086298" w14:textId="77777777" w:rsidR="008622A6" w:rsidRPr="00DF278B" w:rsidRDefault="008622A6" w:rsidP="006A1B75">
            <w:r w:rsidRPr="00DF278B">
              <w:t>Eyeglasses</w:t>
            </w:r>
          </w:p>
        </w:tc>
      </w:tr>
      <w:tr w:rsidR="008622A6" w:rsidRPr="00DF278B" w14:paraId="26A3655D" w14:textId="77777777" w:rsidTr="00441B90">
        <w:tc>
          <w:tcPr>
            <w:tcW w:w="2245" w:type="dxa"/>
            <w:tcBorders>
              <w:left w:val="nil"/>
              <w:bottom w:val="nil"/>
            </w:tcBorders>
          </w:tcPr>
          <w:p w14:paraId="52DEA243" w14:textId="77777777" w:rsidR="008622A6" w:rsidRPr="00DF278B" w:rsidRDefault="008622A6" w:rsidP="006A1B75"/>
        </w:tc>
        <w:tc>
          <w:tcPr>
            <w:tcW w:w="2770" w:type="dxa"/>
          </w:tcPr>
          <w:p w14:paraId="4203CB84" w14:textId="77777777" w:rsidR="008622A6" w:rsidRPr="00DF278B" w:rsidRDefault="008622A6" w:rsidP="006A1B75">
            <w:r w:rsidRPr="00DF278B">
              <w:t>Travel</w:t>
            </w:r>
          </w:p>
        </w:tc>
      </w:tr>
    </w:tbl>
    <w:p w14:paraId="6D8E8955" w14:textId="2B1CB326" w:rsidR="00DB3309" w:rsidRPr="00DF278B" w:rsidRDefault="00DB3309" w:rsidP="00D66871"/>
    <w:p w14:paraId="07118144" w14:textId="77777777" w:rsidR="00DB3309" w:rsidRPr="00DF278B" w:rsidRDefault="00DB3309">
      <w:r w:rsidRPr="00DF278B">
        <w:br w:type="page"/>
      </w:r>
    </w:p>
    <w:p w14:paraId="74BBF3EA" w14:textId="77777777" w:rsidR="00DB3309" w:rsidRPr="00DF278B" w:rsidRDefault="00DB3309" w:rsidP="00DB3309">
      <w:pPr>
        <w:rPr>
          <w:b/>
          <w:bCs/>
        </w:rPr>
      </w:pPr>
      <w:r w:rsidRPr="00DF278B">
        <w:rPr>
          <w:b/>
          <w:bCs/>
        </w:rPr>
        <w:lastRenderedPageBreak/>
        <w:t>Figure 1: Seeing Is Believing Referral Center Flowchart</w:t>
      </w:r>
    </w:p>
    <w:p w14:paraId="6FCFC895" w14:textId="50343CB2" w:rsidR="00DB3309" w:rsidRPr="00DF278B" w:rsidRDefault="002B587D" w:rsidP="00DB3309">
      <w:pPr>
        <w:rPr>
          <w:b/>
          <w:bCs/>
        </w:rPr>
      </w:pPr>
      <w:r w:rsidRPr="00DF278B">
        <w:rPr>
          <w:b/>
          <w:bCs/>
          <w:noProof/>
        </w:rPr>
        <w:drawing>
          <wp:inline distT="0" distB="0" distL="0" distR="0" wp14:anchorId="00FD6D60" wp14:editId="2C97A225">
            <wp:extent cx="5753100" cy="27178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53100" cy="2717800"/>
                    </a:xfrm>
                    <a:prstGeom prst="rect">
                      <a:avLst/>
                    </a:prstGeom>
                  </pic:spPr>
                </pic:pic>
              </a:graphicData>
            </a:graphic>
          </wp:inline>
        </w:drawing>
      </w:r>
    </w:p>
    <w:p w14:paraId="19C3ADA3" w14:textId="77777777" w:rsidR="00DB3309" w:rsidRPr="00DF278B" w:rsidRDefault="00DB3309" w:rsidP="00DB3309">
      <w:pPr>
        <w:rPr>
          <w:b/>
          <w:bCs/>
        </w:rPr>
      </w:pPr>
    </w:p>
    <w:p w14:paraId="51412D05" w14:textId="114EDEBD" w:rsidR="00DB3309" w:rsidRPr="00DF278B" w:rsidRDefault="00DB3309" w:rsidP="00DB3309">
      <w:pPr>
        <w:rPr>
          <w:b/>
          <w:bCs/>
        </w:rPr>
      </w:pPr>
      <w:r w:rsidRPr="00DF278B">
        <w:rPr>
          <w:b/>
          <w:bCs/>
        </w:rPr>
        <w:t>Figure 2a: Cost per Student Receiving Glasses at District Level, Allocated by Program Initiative</w:t>
      </w:r>
    </w:p>
    <w:p w14:paraId="4C6907DC" w14:textId="0BED720E" w:rsidR="00DB3309" w:rsidRPr="00DF278B" w:rsidRDefault="00DB3309" w:rsidP="00DB3309">
      <w:r w:rsidRPr="00DF278B">
        <w:rPr>
          <w:noProof/>
        </w:rPr>
        <w:drawing>
          <wp:inline distT="0" distB="0" distL="0" distR="0" wp14:anchorId="47EFEB73" wp14:editId="5A2885D9">
            <wp:extent cx="5943600" cy="3563816"/>
            <wp:effectExtent l="0" t="0" r="12700" b="17780"/>
            <wp:docPr id="1" name="Chart 1">
              <a:extLst xmlns:a="http://schemas.openxmlformats.org/drawingml/2006/main">
                <a:ext uri="{FF2B5EF4-FFF2-40B4-BE49-F238E27FC236}">
                  <a16:creationId xmlns:a16="http://schemas.microsoft.com/office/drawing/2014/main" id="{42037F53-9637-46AD-8BB4-30C05C735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5F641A" w14:textId="77777777" w:rsidR="00DB3309" w:rsidRPr="00DF278B" w:rsidRDefault="00DB3309" w:rsidP="00DB3309"/>
    <w:p w14:paraId="0FF2622E" w14:textId="77777777" w:rsidR="00DB3309" w:rsidRPr="00DF278B" w:rsidRDefault="00DB3309">
      <w:pPr>
        <w:rPr>
          <w:b/>
          <w:bCs/>
        </w:rPr>
      </w:pPr>
      <w:r w:rsidRPr="00DF278B">
        <w:rPr>
          <w:b/>
          <w:bCs/>
        </w:rPr>
        <w:br w:type="page"/>
      </w:r>
    </w:p>
    <w:p w14:paraId="0A9029D7" w14:textId="038B3EBC" w:rsidR="00DB3309" w:rsidRPr="00DF278B" w:rsidRDefault="00DB3309" w:rsidP="00DB3309">
      <w:pPr>
        <w:rPr>
          <w:b/>
          <w:bCs/>
        </w:rPr>
      </w:pPr>
      <w:r w:rsidRPr="00DF278B">
        <w:rPr>
          <w:b/>
          <w:bCs/>
        </w:rPr>
        <w:lastRenderedPageBreak/>
        <w:t>Figure 2b: Cost per Student Receiving Glasses at District Level, Allocated by Expenditure Category</w:t>
      </w:r>
    </w:p>
    <w:p w14:paraId="57A1E243" w14:textId="77777777" w:rsidR="00DB3309" w:rsidRPr="00DF278B" w:rsidRDefault="00DB3309" w:rsidP="00DB3309"/>
    <w:p w14:paraId="7DB886EA" w14:textId="49139ED1" w:rsidR="00AA2AB2" w:rsidRPr="00DF278B" w:rsidRDefault="00DB3309" w:rsidP="00D66871">
      <w:r w:rsidRPr="00DF278B">
        <w:rPr>
          <w:noProof/>
        </w:rPr>
        <w:drawing>
          <wp:inline distT="0" distB="0" distL="0" distR="0" wp14:anchorId="5FA3C553" wp14:editId="28D5E5C8">
            <wp:extent cx="5943600" cy="3385185"/>
            <wp:effectExtent l="0" t="0" r="12700" b="18415"/>
            <wp:docPr id="2" name="Chart 2">
              <a:extLst xmlns:a="http://schemas.openxmlformats.org/drawingml/2006/main">
                <a:ext uri="{FF2B5EF4-FFF2-40B4-BE49-F238E27FC236}">
                  <a16:creationId xmlns:a16="http://schemas.microsoft.com/office/drawing/2014/main" id="{2C62A40E-F5AA-4DE6-8919-A176F31C90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AA2AB2" w:rsidRPr="00DF278B">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EC01" w16cex:dateUtc="2020-09-23T08:45:00Z"/>
  <w16cex:commentExtensible w16cex:durableId="232F4E8F" w16cex:dateUtc="2020-10-13T04:52:00Z"/>
  <w16cex:commentExtensible w16cex:durableId="23523CF0" w16cex:dateUtc="2020-11-08T17:46:00Z"/>
  <w16cex:commentExtensible w16cex:durableId="23523DFE" w16cex:dateUtc="2020-11-08T17:50:00Z"/>
  <w16cex:commentExtensible w16cex:durableId="235B70D5" w16cex:dateUtc="2020-11-15T17:18:00Z"/>
  <w16cex:commentExtensible w16cex:durableId="235B79B9" w16cex:dateUtc="2020-11-15T17:56:00Z"/>
  <w16cex:commentExtensible w16cex:durableId="2315F4F9" w16cex:dateUtc="2020-09-23T09:23:00Z"/>
  <w16cex:commentExtensible w16cex:durableId="232F507D" w16cex:dateUtc="2020-10-13T05:00:00Z"/>
  <w16cex:commentExtensible w16cex:durableId="23527432" w16cex:dateUtc="2020-11-08T21:42:00Z"/>
  <w16cex:commentExtensible w16cex:durableId="2315F529" w16cex:dateUtc="2020-09-23T09:24:00Z"/>
  <w16cex:commentExtensible w16cex:durableId="2315F8C5" w16cex:dateUtc="2020-09-23T09:39:00Z"/>
  <w16cex:commentExtensible w16cex:durableId="232F522E" w16cex:dateUtc="2020-10-13T05:07:00Z"/>
  <w16cex:commentExtensible w16cex:durableId="2315E8B1" w16cex:dateUtc="2020-09-23T08:30:00Z"/>
  <w16cex:commentExtensible w16cex:durableId="232F5570" w16cex:dateUtc="2020-10-13T05: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3A27F" w14:textId="77777777" w:rsidR="004A308D" w:rsidRDefault="004A308D" w:rsidP="00D55CF6">
      <w:r>
        <w:separator/>
      </w:r>
    </w:p>
  </w:endnote>
  <w:endnote w:type="continuationSeparator" w:id="0">
    <w:p w14:paraId="590DF633" w14:textId="77777777" w:rsidR="004A308D" w:rsidRDefault="004A308D" w:rsidP="00D5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337180"/>
      <w:docPartObj>
        <w:docPartGallery w:val="Page Numbers (Bottom of Page)"/>
        <w:docPartUnique/>
      </w:docPartObj>
    </w:sdtPr>
    <w:sdtEndPr>
      <w:rPr>
        <w:noProof/>
      </w:rPr>
    </w:sdtEndPr>
    <w:sdtContent>
      <w:p w14:paraId="2C3B8BDF" w14:textId="5F879CE5" w:rsidR="00EE23DC" w:rsidRDefault="00EE23DC">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010A544C" w14:textId="77777777" w:rsidR="00EE23DC" w:rsidRDefault="00EE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95978" w14:textId="77777777" w:rsidR="004A308D" w:rsidRDefault="004A308D" w:rsidP="00D55CF6">
      <w:r>
        <w:separator/>
      </w:r>
    </w:p>
  </w:footnote>
  <w:footnote w:type="continuationSeparator" w:id="0">
    <w:p w14:paraId="52CFF95C" w14:textId="77777777" w:rsidR="004A308D" w:rsidRDefault="004A308D" w:rsidP="00D55CF6">
      <w:r>
        <w:continuationSeparator/>
      </w:r>
    </w:p>
  </w:footnote>
  <w:footnote w:id="1">
    <w:p w14:paraId="02B000E3" w14:textId="71755589" w:rsidR="00EE23DC" w:rsidRDefault="00EE23DC">
      <w:pPr>
        <w:pStyle w:val="FootnoteText"/>
      </w:pPr>
      <w:r>
        <w:rPr>
          <w:rStyle w:val="FootnoteReference"/>
        </w:rPr>
        <w:footnoteRef/>
      </w:r>
      <w:r>
        <w:t xml:space="preserve"> </w:t>
      </w:r>
      <w:r w:rsidRPr="00D55CF6">
        <w:rPr>
          <w:rStyle w:val="tlid-translation"/>
          <w:iCs/>
          <w:lang w:val="en"/>
        </w:rPr>
        <w:t>Government Regulation (PP) RI Number 15 of 2019 concerning the Eighteenth Amendment to Government Regulation Number 7 of 1977 concerning Salary Regulations for Civil Servants</w:t>
      </w:r>
    </w:p>
  </w:footnote>
  <w:footnote w:id="2">
    <w:p w14:paraId="43D69AF6" w14:textId="737A0EB2" w:rsidR="00EE23DC" w:rsidRDefault="00EE23DC">
      <w:pPr>
        <w:pStyle w:val="FootnoteText"/>
      </w:pPr>
      <w:r>
        <w:rPr>
          <w:rStyle w:val="FootnoteReference"/>
        </w:rPr>
        <w:footnoteRef/>
      </w:r>
      <w:r>
        <w:t xml:space="preserve"> Helen Keller Program Reports, 2020.</w:t>
      </w:r>
    </w:p>
  </w:footnote>
  <w:footnote w:id="3">
    <w:p w14:paraId="53B8B63E" w14:textId="2966ADCF" w:rsidR="00EE23DC" w:rsidRDefault="00EE23DC" w:rsidP="00792A38">
      <w:pPr>
        <w:pStyle w:val="FootnoteText"/>
      </w:pPr>
      <w:r>
        <w:rPr>
          <w:rStyle w:val="FootnoteReference"/>
        </w:rPr>
        <w:footnoteRef/>
      </w:r>
      <w:r>
        <w:t xml:space="preserve"> World Health Organization. </w:t>
      </w:r>
      <w:r w:rsidRPr="004018B2">
        <w:t>Global Burden of Disease 2004 Update: Disability Weights for Diseases and Conditions</w:t>
      </w:r>
      <w:r>
        <w:t>. WHO Geneva; 2004</w:t>
      </w:r>
      <w:r>
        <w:rPr>
          <w:rFonts w:ascii="Calibri" w:hAnsi="Calibri" w:cs="Calibri"/>
          <w:sz w:val="22"/>
        </w:rPr>
        <w:t xml:space="preserve">. </w:t>
      </w:r>
      <w:r w:rsidRPr="004018B2">
        <w:rPr>
          <w:rFonts w:ascii="Calibri" w:hAnsi="Calibri" w:cs="Calibri"/>
          <w:szCs w:val="18"/>
        </w:rPr>
        <w:t>www.who.int/healthinfo/global_burden_disease/GBD2004_DisabilityWeights.pdf</w:t>
      </w:r>
    </w:p>
  </w:footnote>
  <w:footnote w:id="4">
    <w:p w14:paraId="3792693B" w14:textId="648936AD" w:rsidR="00EE23DC" w:rsidRDefault="00EE23DC">
      <w:pPr>
        <w:pStyle w:val="FootnoteText"/>
      </w:pPr>
      <w:r>
        <w:rPr>
          <w:rStyle w:val="FootnoteReference"/>
        </w:rPr>
        <w:footnoteRef/>
      </w:r>
      <w:r>
        <w:t xml:space="preserve"> </w:t>
      </w:r>
      <w:r w:rsidRPr="004018B2">
        <w:t>GBD 2016 Disease and Injury Incidence and Prevalence Collaborators. Global, regional, and national incidence, prevalence, and years lived with disability for 328 diseases and injuries for 195 countries, 1990–2016: a systematic analysis for the Global Burden of Disease Study 2016. Supplement</w:t>
      </w:r>
      <w:r>
        <w:t xml:space="preserve">ary Appendix 1. </w:t>
      </w:r>
      <w:r w:rsidRPr="004018B2">
        <w:t>Lancet 2017; 390: 1211–59.</w:t>
      </w:r>
      <w:r>
        <w:t xml:space="preserve"> </w:t>
      </w:r>
    </w:p>
  </w:footnote>
  <w:footnote w:id="5">
    <w:p w14:paraId="499F1215" w14:textId="407CA2A3" w:rsidR="00EE23DC" w:rsidRPr="00122F6C" w:rsidRDefault="00EE23DC" w:rsidP="00122F6C">
      <w:pPr>
        <w:pStyle w:val="FootnoteText"/>
        <w:rPr>
          <w:rFonts w:ascii="Calibri" w:hAnsi="Calibri" w:cs="Calibri"/>
          <w:sz w:val="22"/>
        </w:rPr>
      </w:pPr>
      <w:r>
        <w:rPr>
          <w:rStyle w:val="FootnoteReference"/>
        </w:rPr>
        <w:footnoteRef/>
      </w:r>
      <w:r>
        <w:t xml:space="preserve"> </w:t>
      </w:r>
      <w:r w:rsidRPr="001F14C6">
        <w:t>Angell B, Ali F, Gandhi M, et al. Ready-made and custom-made eyeglasses in India: a cost-effectiveness analysis of a randomised controlled trial. BMJ Open Ophthalmology 2018;3:e000123.</w:t>
      </w:r>
    </w:p>
  </w:footnote>
  <w:footnote w:id="6">
    <w:p w14:paraId="1B895581" w14:textId="1115C26A" w:rsidR="00EE23DC" w:rsidRDefault="00EE23DC">
      <w:pPr>
        <w:pStyle w:val="FootnoteText"/>
      </w:pPr>
      <w:r>
        <w:rPr>
          <w:rStyle w:val="FootnoteReference"/>
        </w:rPr>
        <w:footnoteRef/>
      </w:r>
      <w:r>
        <w:t xml:space="preserve"> Helen Keller Program Reports, 2020</w:t>
      </w:r>
    </w:p>
  </w:footnote>
  <w:footnote w:id="7">
    <w:p w14:paraId="74361573" w14:textId="2AF422AF" w:rsidR="00EE23DC" w:rsidRDefault="00EE23DC">
      <w:pPr>
        <w:pStyle w:val="FootnoteText"/>
      </w:pPr>
      <w:r>
        <w:rPr>
          <w:rStyle w:val="FootnoteReference"/>
        </w:rPr>
        <w:footnoteRef/>
      </w:r>
      <w:r>
        <w:t xml:space="preserve"> Helen Keller program data, 2018</w:t>
      </w:r>
    </w:p>
  </w:footnote>
  <w:footnote w:id="8">
    <w:p w14:paraId="3537A8C4" w14:textId="335B471E" w:rsidR="00EE23DC" w:rsidRDefault="00EE23DC">
      <w:pPr>
        <w:pStyle w:val="FootnoteText"/>
      </w:pPr>
      <w:r>
        <w:rPr>
          <w:rStyle w:val="FootnoteReference"/>
        </w:rPr>
        <w:footnoteRef/>
      </w:r>
      <w:r>
        <w:t xml:space="preserve"> </w:t>
      </w:r>
      <w:r w:rsidRPr="00382544">
        <w:t xml:space="preserve">Chao, Tiffany E., Ketan Sharma, Morgan Mandigo, Lars Hagander, Stephen C. Resch, Thomas G. Weiser, and John G. Meara. “Cost-Effectiveness of Surgery and Its Policy Implications for Global Health: A Systematic Review and Analysis.” </w:t>
      </w:r>
      <w:r w:rsidRPr="00382544">
        <w:rPr>
          <w:i/>
          <w:iCs/>
        </w:rPr>
        <w:t>Lancet. Global Health</w:t>
      </w:r>
      <w:r>
        <w:rPr>
          <w:iCs/>
        </w:rPr>
        <w:t>. 2014;2(6):</w:t>
      </w:r>
      <w:r w:rsidRPr="00382544">
        <w:t>: e334-345.</w:t>
      </w:r>
    </w:p>
  </w:footnote>
  <w:footnote w:id="9">
    <w:p w14:paraId="2D17CC9D" w14:textId="421F63D1" w:rsidR="00EE23DC" w:rsidRDefault="00EE23DC">
      <w:pPr>
        <w:pStyle w:val="FootnoteText"/>
      </w:pPr>
      <w:r>
        <w:rPr>
          <w:rStyle w:val="FootnoteReference"/>
        </w:rPr>
        <w:footnoteRef/>
      </w:r>
      <w:r>
        <w:t xml:space="preserve"> </w:t>
      </w:r>
      <w:r w:rsidRPr="00B727E5">
        <w:t>Taylor HR, Jonas JB, Keeffe J, Leasher J, Naidoo K, Pesudovs K, Resnikoff S. Disability weights for vision disorders in Global Burden of Disease study. Lancet. 2013 Jan 5;381(9860):23.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388"/>
    <w:multiLevelType w:val="hybridMultilevel"/>
    <w:tmpl w:val="0C14C402"/>
    <w:lvl w:ilvl="0" w:tplc="C0841C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35D91"/>
    <w:multiLevelType w:val="hybridMultilevel"/>
    <w:tmpl w:val="BAC6C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C7E59"/>
    <w:multiLevelType w:val="hybridMultilevel"/>
    <w:tmpl w:val="F5F0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536FC"/>
    <w:multiLevelType w:val="hybridMultilevel"/>
    <w:tmpl w:val="332A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75356"/>
    <w:multiLevelType w:val="hybridMultilevel"/>
    <w:tmpl w:val="B852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701B5"/>
    <w:multiLevelType w:val="hybridMultilevel"/>
    <w:tmpl w:val="BEC4F792"/>
    <w:lvl w:ilvl="0" w:tplc="00946F3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CBD"/>
    <w:rsid w:val="00007434"/>
    <w:rsid w:val="000134B8"/>
    <w:rsid w:val="00013DDD"/>
    <w:rsid w:val="0002098D"/>
    <w:rsid w:val="0003560C"/>
    <w:rsid w:val="00060A9D"/>
    <w:rsid w:val="00074A92"/>
    <w:rsid w:val="0007750E"/>
    <w:rsid w:val="0009415F"/>
    <w:rsid w:val="00094328"/>
    <w:rsid w:val="000C2A03"/>
    <w:rsid w:val="000C52FC"/>
    <w:rsid w:val="000D54A1"/>
    <w:rsid w:val="000E7481"/>
    <w:rsid w:val="0011488B"/>
    <w:rsid w:val="00122F6C"/>
    <w:rsid w:val="00133462"/>
    <w:rsid w:val="00144039"/>
    <w:rsid w:val="00144AB0"/>
    <w:rsid w:val="00156CBF"/>
    <w:rsid w:val="00164F10"/>
    <w:rsid w:val="001734A2"/>
    <w:rsid w:val="00175E57"/>
    <w:rsid w:val="001825F6"/>
    <w:rsid w:val="00183362"/>
    <w:rsid w:val="001848A2"/>
    <w:rsid w:val="00193CC3"/>
    <w:rsid w:val="001D030B"/>
    <w:rsid w:val="001D7827"/>
    <w:rsid w:val="001E5B5C"/>
    <w:rsid w:val="001E7858"/>
    <w:rsid w:val="001F14C6"/>
    <w:rsid w:val="00205D01"/>
    <w:rsid w:val="002064B2"/>
    <w:rsid w:val="00215613"/>
    <w:rsid w:val="00222BF6"/>
    <w:rsid w:val="002251A2"/>
    <w:rsid w:val="002460CA"/>
    <w:rsid w:val="00256538"/>
    <w:rsid w:val="00260BA5"/>
    <w:rsid w:val="002737EB"/>
    <w:rsid w:val="002746ED"/>
    <w:rsid w:val="0027518D"/>
    <w:rsid w:val="002B587D"/>
    <w:rsid w:val="00300699"/>
    <w:rsid w:val="00306BF6"/>
    <w:rsid w:val="00310E39"/>
    <w:rsid w:val="00317F0D"/>
    <w:rsid w:val="0032017A"/>
    <w:rsid w:val="00322777"/>
    <w:rsid w:val="0035436B"/>
    <w:rsid w:val="003603D7"/>
    <w:rsid w:val="00363645"/>
    <w:rsid w:val="00380FCE"/>
    <w:rsid w:val="00382544"/>
    <w:rsid w:val="00385374"/>
    <w:rsid w:val="00393D59"/>
    <w:rsid w:val="003A0040"/>
    <w:rsid w:val="003A342C"/>
    <w:rsid w:val="003A500A"/>
    <w:rsid w:val="003C2437"/>
    <w:rsid w:val="003C553B"/>
    <w:rsid w:val="003D4240"/>
    <w:rsid w:val="003E0213"/>
    <w:rsid w:val="003F757B"/>
    <w:rsid w:val="003F7EB5"/>
    <w:rsid w:val="004018B2"/>
    <w:rsid w:val="00406141"/>
    <w:rsid w:val="004207C2"/>
    <w:rsid w:val="00430D3E"/>
    <w:rsid w:val="00431B48"/>
    <w:rsid w:val="00441B90"/>
    <w:rsid w:val="004A308D"/>
    <w:rsid w:val="004B4F05"/>
    <w:rsid w:val="004C6450"/>
    <w:rsid w:val="004E302B"/>
    <w:rsid w:val="004F2A15"/>
    <w:rsid w:val="004F2F0D"/>
    <w:rsid w:val="0050110A"/>
    <w:rsid w:val="00501AC2"/>
    <w:rsid w:val="005041A1"/>
    <w:rsid w:val="0051371E"/>
    <w:rsid w:val="0051395B"/>
    <w:rsid w:val="00521849"/>
    <w:rsid w:val="005220BC"/>
    <w:rsid w:val="005468F1"/>
    <w:rsid w:val="005620DA"/>
    <w:rsid w:val="00577967"/>
    <w:rsid w:val="005A1CD0"/>
    <w:rsid w:val="005D3254"/>
    <w:rsid w:val="005E6A56"/>
    <w:rsid w:val="005F381B"/>
    <w:rsid w:val="0060490A"/>
    <w:rsid w:val="00633623"/>
    <w:rsid w:val="00635CCA"/>
    <w:rsid w:val="00637290"/>
    <w:rsid w:val="006414DB"/>
    <w:rsid w:val="006509DD"/>
    <w:rsid w:val="00651478"/>
    <w:rsid w:val="006541BD"/>
    <w:rsid w:val="00685F88"/>
    <w:rsid w:val="006A0DA6"/>
    <w:rsid w:val="006A1B75"/>
    <w:rsid w:val="006A56E2"/>
    <w:rsid w:val="006C1222"/>
    <w:rsid w:val="006C188A"/>
    <w:rsid w:val="006D0265"/>
    <w:rsid w:val="006E101D"/>
    <w:rsid w:val="006E508C"/>
    <w:rsid w:val="006F595F"/>
    <w:rsid w:val="0070116C"/>
    <w:rsid w:val="00703CFE"/>
    <w:rsid w:val="007056E2"/>
    <w:rsid w:val="0071403D"/>
    <w:rsid w:val="00725248"/>
    <w:rsid w:val="0072561F"/>
    <w:rsid w:val="00740269"/>
    <w:rsid w:val="007511CF"/>
    <w:rsid w:val="00753E84"/>
    <w:rsid w:val="0076468B"/>
    <w:rsid w:val="007648C3"/>
    <w:rsid w:val="00775B8A"/>
    <w:rsid w:val="00782369"/>
    <w:rsid w:val="00785071"/>
    <w:rsid w:val="007876D8"/>
    <w:rsid w:val="00792297"/>
    <w:rsid w:val="00792A38"/>
    <w:rsid w:val="007E6BE3"/>
    <w:rsid w:val="007E7C84"/>
    <w:rsid w:val="007F7A9F"/>
    <w:rsid w:val="00830305"/>
    <w:rsid w:val="00841380"/>
    <w:rsid w:val="00841E4A"/>
    <w:rsid w:val="008622A6"/>
    <w:rsid w:val="00863893"/>
    <w:rsid w:val="00876E34"/>
    <w:rsid w:val="00877608"/>
    <w:rsid w:val="00883DF7"/>
    <w:rsid w:val="00891462"/>
    <w:rsid w:val="00892F01"/>
    <w:rsid w:val="00893FBA"/>
    <w:rsid w:val="008B0F3C"/>
    <w:rsid w:val="008D0892"/>
    <w:rsid w:val="008E3E01"/>
    <w:rsid w:val="008E628F"/>
    <w:rsid w:val="00901C20"/>
    <w:rsid w:val="0090457C"/>
    <w:rsid w:val="0092472D"/>
    <w:rsid w:val="00927238"/>
    <w:rsid w:val="00931216"/>
    <w:rsid w:val="009320CB"/>
    <w:rsid w:val="0093385A"/>
    <w:rsid w:val="009415CE"/>
    <w:rsid w:val="00943218"/>
    <w:rsid w:val="00947C07"/>
    <w:rsid w:val="0095378C"/>
    <w:rsid w:val="009571E4"/>
    <w:rsid w:val="00964DEC"/>
    <w:rsid w:val="00966533"/>
    <w:rsid w:val="009744E8"/>
    <w:rsid w:val="00996DCD"/>
    <w:rsid w:val="009A208B"/>
    <w:rsid w:val="009B2575"/>
    <w:rsid w:val="009B602A"/>
    <w:rsid w:val="009C4CC3"/>
    <w:rsid w:val="009C701B"/>
    <w:rsid w:val="009D1D0F"/>
    <w:rsid w:val="009D6C1E"/>
    <w:rsid w:val="009E69C2"/>
    <w:rsid w:val="009F3C2B"/>
    <w:rsid w:val="00A054A0"/>
    <w:rsid w:val="00A14AFD"/>
    <w:rsid w:val="00A31FB9"/>
    <w:rsid w:val="00A51172"/>
    <w:rsid w:val="00A516EF"/>
    <w:rsid w:val="00A53B9F"/>
    <w:rsid w:val="00A72F9E"/>
    <w:rsid w:val="00A75160"/>
    <w:rsid w:val="00A91C19"/>
    <w:rsid w:val="00A962AE"/>
    <w:rsid w:val="00AA2AB2"/>
    <w:rsid w:val="00AB41DB"/>
    <w:rsid w:val="00AB619A"/>
    <w:rsid w:val="00AC3902"/>
    <w:rsid w:val="00AC5020"/>
    <w:rsid w:val="00AC64A7"/>
    <w:rsid w:val="00AE22D2"/>
    <w:rsid w:val="00AF1383"/>
    <w:rsid w:val="00AF25DD"/>
    <w:rsid w:val="00AF6BA3"/>
    <w:rsid w:val="00B1533A"/>
    <w:rsid w:val="00B15B31"/>
    <w:rsid w:val="00B40836"/>
    <w:rsid w:val="00B40FB7"/>
    <w:rsid w:val="00B4434B"/>
    <w:rsid w:val="00B4514B"/>
    <w:rsid w:val="00B46AF5"/>
    <w:rsid w:val="00B53992"/>
    <w:rsid w:val="00B55218"/>
    <w:rsid w:val="00B56908"/>
    <w:rsid w:val="00B56BC3"/>
    <w:rsid w:val="00B56FD5"/>
    <w:rsid w:val="00B61412"/>
    <w:rsid w:val="00B721D7"/>
    <w:rsid w:val="00B727E5"/>
    <w:rsid w:val="00BA090F"/>
    <w:rsid w:val="00BA51E7"/>
    <w:rsid w:val="00BA5B01"/>
    <w:rsid w:val="00BC309E"/>
    <w:rsid w:val="00BC55C3"/>
    <w:rsid w:val="00BD07D2"/>
    <w:rsid w:val="00BD1F3F"/>
    <w:rsid w:val="00BD2030"/>
    <w:rsid w:val="00BD5051"/>
    <w:rsid w:val="00BE602F"/>
    <w:rsid w:val="00BF38B9"/>
    <w:rsid w:val="00C0232A"/>
    <w:rsid w:val="00C16CEC"/>
    <w:rsid w:val="00C171E5"/>
    <w:rsid w:val="00C239FD"/>
    <w:rsid w:val="00C454F6"/>
    <w:rsid w:val="00C66BEA"/>
    <w:rsid w:val="00C725B0"/>
    <w:rsid w:val="00C7414C"/>
    <w:rsid w:val="00C74D98"/>
    <w:rsid w:val="00C76924"/>
    <w:rsid w:val="00C907C4"/>
    <w:rsid w:val="00CA403E"/>
    <w:rsid w:val="00CC21F9"/>
    <w:rsid w:val="00CC4CDB"/>
    <w:rsid w:val="00CC58AF"/>
    <w:rsid w:val="00CC6A04"/>
    <w:rsid w:val="00CC6D11"/>
    <w:rsid w:val="00CE0D74"/>
    <w:rsid w:val="00CF0158"/>
    <w:rsid w:val="00CF5ECA"/>
    <w:rsid w:val="00CF7D01"/>
    <w:rsid w:val="00D02DA9"/>
    <w:rsid w:val="00D17081"/>
    <w:rsid w:val="00D175AC"/>
    <w:rsid w:val="00D5597C"/>
    <w:rsid w:val="00D55CF6"/>
    <w:rsid w:val="00D62360"/>
    <w:rsid w:val="00D6377A"/>
    <w:rsid w:val="00D66871"/>
    <w:rsid w:val="00D92327"/>
    <w:rsid w:val="00DA52FC"/>
    <w:rsid w:val="00DB3309"/>
    <w:rsid w:val="00DB352B"/>
    <w:rsid w:val="00DB642D"/>
    <w:rsid w:val="00DC13E7"/>
    <w:rsid w:val="00DF278B"/>
    <w:rsid w:val="00E07BCF"/>
    <w:rsid w:val="00E16E89"/>
    <w:rsid w:val="00E22DCA"/>
    <w:rsid w:val="00E255F8"/>
    <w:rsid w:val="00E2723E"/>
    <w:rsid w:val="00E40113"/>
    <w:rsid w:val="00E41F09"/>
    <w:rsid w:val="00E42CBD"/>
    <w:rsid w:val="00E541D0"/>
    <w:rsid w:val="00E663A0"/>
    <w:rsid w:val="00E733B2"/>
    <w:rsid w:val="00E854F9"/>
    <w:rsid w:val="00E97AE6"/>
    <w:rsid w:val="00EA77B6"/>
    <w:rsid w:val="00EA7A70"/>
    <w:rsid w:val="00EC11EF"/>
    <w:rsid w:val="00EC6CAD"/>
    <w:rsid w:val="00EE23DC"/>
    <w:rsid w:val="00EE76B9"/>
    <w:rsid w:val="00F03790"/>
    <w:rsid w:val="00F03B28"/>
    <w:rsid w:val="00F03B2E"/>
    <w:rsid w:val="00F03D49"/>
    <w:rsid w:val="00F1597D"/>
    <w:rsid w:val="00F176B3"/>
    <w:rsid w:val="00F17FA1"/>
    <w:rsid w:val="00F25EDC"/>
    <w:rsid w:val="00F26761"/>
    <w:rsid w:val="00F30B1D"/>
    <w:rsid w:val="00F31EDB"/>
    <w:rsid w:val="00F531B4"/>
    <w:rsid w:val="00F5385C"/>
    <w:rsid w:val="00F57F7F"/>
    <w:rsid w:val="00F7294F"/>
    <w:rsid w:val="00F809E7"/>
    <w:rsid w:val="00F83DCD"/>
    <w:rsid w:val="00F915E6"/>
    <w:rsid w:val="00F92F39"/>
    <w:rsid w:val="00F94FB7"/>
    <w:rsid w:val="00FA0A06"/>
    <w:rsid w:val="00FC0B4A"/>
    <w:rsid w:val="00FC324D"/>
    <w:rsid w:val="00FF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9EF88"/>
  <w15:chartTrackingRefBased/>
  <w15:docId w15:val="{F7F8526D-ADDD-9146-A4EE-1D3ACAE3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54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327"/>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753E84"/>
    <w:rPr>
      <w:sz w:val="16"/>
      <w:szCs w:val="16"/>
    </w:rPr>
  </w:style>
  <w:style w:type="paragraph" w:styleId="CommentText">
    <w:name w:val="annotation text"/>
    <w:basedOn w:val="Normal"/>
    <w:link w:val="CommentTextChar"/>
    <w:uiPriority w:val="99"/>
    <w:unhideWhenUsed/>
    <w:rsid w:val="00753E8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53E84"/>
    <w:rPr>
      <w:sz w:val="20"/>
      <w:szCs w:val="20"/>
    </w:rPr>
  </w:style>
  <w:style w:type="paragraph" w:styleId="CommentSubject">
    <w:name w:val="annotation subject"/>
    <w:basedOn w:val="CommentText"/>
    <w:next w:val="CommentText"/>
    <w:link w:val="CommentSubjectChar"/>
    <w:uiPriority w:val="99"/>
    <w:semiHidden/>
    <w:unhideWhenUsed/>
    <w:rsid w:val="00753E84"/>
    <w:rPr>
      <w:b/>
      <w:bCs/>
    </w:rPr>
  </w:style>
  <w:style w:type="character" w:customStyle="1" w:styleId="CommentSubjectChar">
    <w:name w:val="Comment Subject Char"/>
    <w:basedOn w:val="CommentTextChar"/>
    <w:link w:val="CommentSubject"/>
    <w:uiPriority w:val="99"/>
    <w:semiHidden/>
    <w:rsid w:val="00753E84"/>
    <w:rPr>
      <w:b/>
      <w:bCs/>
      <w:sz w:val="20"/>
      <w:szCs w:val="20"/>
    </w:rPr>
  </w:style>
  <w:style w:type="paragraph" w:styleId="BalloonText">
    <w:name w:val="Balloon Text"/>
    <w:basedOn w:val="Normal"/>
    <w:link w:val="BalloonTextChar"/>
    <w:uiPriority w:val="99"/>
    <w:semiHidden/>
    <w:unhideWhenUsed/>
    <w:rsid w:val="00753E84"/>
    <w:rPr>
      <w:rFonts w:eastAsiaTheme="minorHAnsi"/>
      <w:sz w:val="18"/>
      <w:szCs w:val="18"/>
    </w:rPr>
  </w:style>
  <w:style w:type="character" w:customStyle="1" w:styleId="BalloonTextChar">
    <w:name w:val="Balloon Text Char"/>
    <w:basedOn w:val="DefaultParagraphFont"/>
    <w:link w:val="BalloonText"/>
    <w:uiPriority w:val="99"/>
    <w:semiHidden/>
    <w:rsid w:val="00753E84"/>
    <w:rPr>
      <w:rFonts w:ascii="Times New Roman" w:hAnsi="Times New Roman" w:cs="Times New Roman"/>
      <w:sz w:val="18"/>
      <w:szCs w:val="18"/>
    </w:rPr>
  </w:style>
  <w:style w:type="character" w:styleId="Hyperlink">
    <w:name w:val="Hyperlink"/>
    <w:basedOn w:val="DefaultParagraphFont"/>
    <w:uiPriority w:val="99"/>
    <w:unhideWhenUsed/>
    <w:rsid w:val="00322777"/>
    <w:rPr>
      <w:color w:val="0563C1" w:themeColor="hyperlink"/>
      <w:u w:val="single"/>
    </w:rPr>
  </w:style>
  <w:style w:type="character" w:customStyle="1" w:styleId="UnresolvedMention1">
    <w:name w:val="Unresolved Mention1"/>
    <w:basedOn w:val="DefaultParagraphFont"/>
    <w:uiPriority w:val="99"/>
    <w:semiHidden/>
    <w:unhideWhenUsed/>
    <w:rsid w:val="00322777"/>
    <w:rPr>
      <w:color w:val="605E5C"/>
      <w:shd w:val="clear" w:color="auto" w:fill="E1DFDD"/>
    </w:rPr>
  </w:style>
  <w:style w:type="character" w:customStyle="1" w:styleId="hlfld-contribauthor">
    <w:name w:val="hlfld-contribauthor"/>
    <w:basedOn w:val="DefaultParagraphFont"/>
    <w:rsid w:val="00893FBA"/>
  </w:style>
  <w:style w:type="character" w:customStyle="1" w:styleId="nlmgiven-names">
    <w:name w:val="nlm_given-names"/>
    <w:basedOn w:val="DefaultParagraphFont"/>
    <w:rsid w:val="00893FBA"/>
  </w:style>
  <w:style w:type="character" w:customStyle="1" w:styleId="nlmyear">
    <w:name w:val="nlm_year"/>
    <w:basedOn w:val="DefaultParagraphFont"/>
    <w:rsid w:val="00893FBA"/>
  </w:style>
  <w:style w:type="table" w:styleId="TableGrid">
    <w:name w:val="Table Grid"/>
    <w:basedOn w:val="TableNormal"/>
    <w:uiPriority w:val="39"/>
    <w:rsid w:val="00CA4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460CA"/>
  </w:style>
  <w:style w:type="paragraph" w:styleId="Revision">
    <w:name w:val="Revision"/>
    <w:hidden/>
    <w:uiPriority w:val="99"/>
    <w:semiHidden/>
    <w:rsid w:val="00D55CF6"/>
  </w:style>
  <w:style w:type="paragraph" w:styleId="Header">
    <w:name w:val="header"/>
    <w:basedOn w:val="Normal"/>
    <w:link w:val="HeaderChar"/>
    <w:uiPriority w:val="99"/>
    <w:unhideWhenUsed/>
    <w:rsid w:val="00D55CF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55CF6"/>
  </w:style>
  <w:style w:type="paragraph" w:styleId="Footer">
    <w:name w:val="footer"/>
    <w:basedOn w:val="Normal"/>
    <w:link w:val="FooterChar"/>
    <w:uiPriority w:val="99"/>
    <w:unhideWhenUsed/>
    <w:rsid w:val="00D55CF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55CF6"/>
  </w:style>
  <w:style w:type="paragraph" w:styleId="FootnoteText">
    <w:name w:val="footnote text"/>
    <w:basedOn w:val="Normal"/>
    <w:link w:val="FootnoteTextChar"/>
    <w:uiPriority w:val="99"/>
    <w:semiHidden/>
    <w:unhideWhenUsed/>
    <w:rsid w:val="00D55CF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55CF6"/>
    <w:rPr>
      <w:sz w:val="20"/>
      <w:szCs w:val="20"/>
    </w:rPr>
  </w:style>
  <w:style w:type="character" w:styleId="FootnoteReference">
    <w:name w:val="footnote reference"/>
    <w:basedOn w:val="DefaultParagraphFont"/>
    <w:uiPriority w:val="99"/>
    <w:semiHidden/>
    <w:unhideWhenUsed/>
    <w:rsid w:val="00D55CF6"/>
    <w:rPr>
      <w:vertAlign w:val="superscript"/>
    </w:rPr>
  </w:style>
  <w:style w:type="character" w:customStyle="1" w:styleId="highwire-citation-authors">
    <w:name w:val="highwire-citation-authors"/>
    <w:basedOn w:val="DefaultParagraphFont"/>
    <w:rsid w:val="00F809E7"/>
  </w:style>
  <w:style w:type="character" w:customStyle="1" w:styleId="highwire-citation-author">
    <w:name w:val="highwire-citation-author"/>
    <w:basedOn w:val="DefaultParagraphFont"/>
    <w:rsid w:val="00F809E7"/>
  </w:style>
  <w:style w:type="character" w:customStyle="1" w:styleId="nlm-surname">
    <w:name w:val="nlm-surname"/>
    <w:basedOn w:val="DefaultParagraphFont"/>
    <w:rsid w:val="00F809E7"/>
  </w:style>
  <w:style w:type="character" w:customStyle="1" w:styleId="citation-et">
    <w:name w:val="citation-et"/>
    <w:basedOn w:val="DefaultParagraphFont"/>
    <w:rsid w:val="00F809E7"/>
  </w:style>
  <w:style w:type="character" w:customStyle="1" w:styleId="highwire-cite-metadata-journal">
    <w:name w:val="highwire-cite-metadata-journal"/>
    <w:basedOn w:val="DefaultParagraphFont"/>
    <w:rsid w:val="00F809E7"/>
  </w:style>
  <w:style w:type="character" w:customStyle="1" w:styleId="highwire-cite-metadata-year">
    <w:name w:val="highwire-cite-metadata-year"/>
    <w:basedOn w:val="DefaultParagraphFont"/>
    <w:rsid w:val="00F809E7"/>
  </w:style>
  <w:style w:type="character" w:customStyle="1" w:styleId="highwire-cite-metadata-volume">
    <w:name w:val="highwire-cite-metadata-volume"/>
    <w:basedOn w:val="DefaultParagraphFont"/>
    <w:rsid w:val="00F809E7"/>
  </w:style>
  <w:style w:type="character" w:customStyle="1" w:styleId="highwire-cite-metadata-elocation-id">
    <w:name w:val="highwire-cite-metadata-elocation-id"/>
    <w:basedOn w:val="DefaultParagraphFont"/>
    <w:rsid w:val="00F809E7"/>
  </w:style>
  <w:style w:type="character" w:customStyle="1" w:styleId="highwire-cite-metadata-doi">
    <w:name w:val="highwire-cite-metadata-doi"/>
    <w:basedOn w:val="DefaultParagraphFont"/>
    <w:rsid w:val="00F809E7"/>
  </w:style>
  <w:style w:type="character" w:customStyle="1" w:styleId="label">
    <w:name w:val="label"/>
    <w:basedOn w:val="DefaultParagraphFont"/>
    <w:rsid w:val="00F809E7"/>
  </w:style>
  <w:style w:type="character" w:customStyle="1" w:styleId="UnresolvedMention2">
    <w:name w:val="Unresolved Mention2"/>
    <w:basedOn w:val="DefaultParagraphFont"/>
    <w:uiPriority w:val="99"/>
    <w:semiHidden/>
    <w:unhideWhenUsed/>
    <w:rsid w:val="00E541D0"/>
    <w:rPr>
      <w:color w:val="605E5C"/>
      <w:shd w:val="clear" w:color="auto" w:fill="E1DFDD"/>
    </w:rPr>
  </w:style>
  <w:style w:type="paragraph" w:styleId="Caption">
    <w:name w:val="caption"/>
    <w:basedOn w:val="Normal"/>
    <w:next w:val="Normal"/>
    <w:uiPriority w:val="35"/>
    <w:unhideWhenUsed/>
    <w:qFormat/>
    <w:rsid w:val="00C0232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2264">
      <w:bodyDiv w:val="1"/>
      <w:marLeft w:val="0"/>
      <w:marRight w:val="0"/>
      <w:marTop w:val="0"/>
      <w:marBottom w:val="0"/>
      <w:divBdr>
        <w:top w:val="none" w:sz="0" w:space="0" w:color="auto"/>
        <w:left w:val="none" w:sz="0" w:space="0" w:color="auto"/>
        <w:bottom w:val="none" w:sz="0" w:space="0" w:color="auto"/>
        <w:right w:val="none" w:sz="0" w:space="0" w:color="auto"/>
      </w:divBdr>
    </w:div>
    <w:div w:id="241181372">
      <w:bodyDiv w:val="1"/>
      <w:marLeft w:val="0"/>
      <w:marRight w:val="0"/>
      <w:marTop w:val="0"/>
      <w:marBottom w:val="0"/>
      <w:divBdr>
        <w:top w:val="none" w:sz="0" w:space="0" w:color="auto"/>
        <w:left w:val="none" w:sz="0" w:space="0" w:color="auto"/>
        <w:bottom w:val="none" w:sz="0" w:space="0" w:color="auto"/>
        <w:right w:val="none" w:sz="0" w:space="0" w:color="auto"/>
      </w:divBdr>
    </w:div>
    <w:div w:id="354580157">
      <w:bodyDiv w:val="1"/>
      <w:marLeft w:val="0"/>
      <w:marRight w:val="0"/>
      <w:marTop w:val="0"/>
      <w:marBottom w:val="0"/>
      <w:divBdr>
        <w:top w:val="none" w:sz="0" w:space="0" w:color="auto"/>
        <w:left w:val="none" w:sz="0" w:space="0" w:color="auto"/>
        <w:bottom w:val="none" w:sz="0" w:space="0" w:color="auto"/>
        <w:right w:val="none" w:sz="0" w:space="0" w:color="auto"/>
      </w:divBdr>
    </w:div>
    <w:div w:id="462233283">
      <w:bodyDiv w:val="1"/>
      <w:marLeft w:val="0"/>
      <w:marRight w:val="0"/>
      <w:marTop w:val="0"/>
      <w:marBottom w:val="0"/>
      <w:divBdr>
        <w:top w:val="none" w:sz="0" w:space="0" w:color="auto"/>
        <w:left w:val="none" w:sz="0" w:space="0" w:color="auto"/>
        <w:bottom w:val="none" w:sz="0" w:space="0" w:color="auto"/>
        <w:right w:val="none" w:sz="0" w:space="0" w:color="auto"/>
      </w:divBdr>
      <w:divsChild>
        <w:div w:id="1682511634">
          <w:marLeft w:val="0"/>
          <w:marRight w:val="0"/>
          <w:marTop w:val="0"/>
          <w:marBottom w:val="0"/>
          <w:divBdr>
            <w:top w:val="none" w:sz="0" w:space="0" w:color="auto"/>
            <w:left w:val="none" w:sz="0" w:space="0" w:color="auto"/>
            <w:bottom w:val="none" w:sz="0" w:space="0" w:color="auto"/>
            <w:right w:val="none" w:sz="0" w:space="0" w:color="auto"/>
          </w:divBdr>
          <w:divsChild>
            <w:div w:id="64299049">
              <w:marLeft w:val="0"/>
              <w:marRight w:val="0"/>
              <w:marTop w:val="0"/>
              <w:marBottom w:val="0"/>
              <w:divBdr>
                <w:top w:val="none" w:sz="0" w:space="0" w:color="auto"/>
                <w:left w:val="none" w:sz="0" w:space="0" w:color="auto"/>
                <w:bottom w:val="none" w:sz="0" w:space="0" w:color="auto"/>
                <w:right w:val="none" w:sz="0" w:space="0" w:color="auto"/>
              </w:divBdr>
              <w:divsChild>
                <w:div w:id="94448703">
                  <w:marLeft w:val="0"/>
                  <w:marRight w:val="0"/>
                  <w:marTop w:val="0"/>
                  <w:marBottom w:val="0"/>
                  <w:divBdr>
                    <w:top w:val="none" w:sz="0" w:space="0" w:color="auto"/>
                    <w:left w:val="none" w:sz="0" w:space="0" w:color="auto"/>
                    <w:bottom w:val="none" w:sz="0" w:space="0" w:color="auto"/>
                    <w:right w:val="none" w:sz="0" w:space="0" w:color="auto"/>
                  </w:divBdr>
                </w:div>
                <w:div w:id="18166150">
                  <w:marLeft w:val="0"/>
                  <w:marRight w:val="0"/>
                  <w:marTop w:val="0"/>
                  <w:marBottom w:val="0"/>
                  <w:divBdr>
                    <w:top w:val="none" w:sz="0" w:space="0" w:color="auto"/>
                    <w:left w:val="none" w:sz="0" w:space="0" w:color="auto"/>
                    <w:bottom w:val="none" w:sz="0" w:space="0" w:color="auto"/>
                    <w:right w:val="none" w:sz="0" w:space="0" w:color="auto"/>
                  </w:divBdr>
                </w:div>
                <w:div w:id="20712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9831">
      <w:bodyDiv w:val="1"/>
      <w:marLeft w:val="0"/>
      <w:marRight w:val="0"/>
      <w:marTop w:val="0"/>
      <w:marBottom w:val="0"/>
      <w:divBdr>
        <w:top w:val="none" w:sz="0" w:space="0" w:color="auto"/>
        <w:left w:val="none" w:sz="0" w:space="0" w:color="auto"/>
        <w:bottom w:val="none" w:sz="0" w:space="0" w:color="auto"/>
        <w:right w:val="none" w:sz="0" w:space="0" w:color="auto"/>
      </w:divBdr>
    </w:div>
    <w:div w:id="1033532111">
      <w:bodyDiv w:val="1"/>
      <w:marLeft w:val="0"/>
      <w:marRight w:val="0"/>
      <w:marTop w:val="0"/>
      <w:marBottom w:val="0"/>
      <w:divBdr>
        <w:top w:val="none" w:sz="0" w:space="0" w:color="auto"/>
        <w:left w:val="none" w:sz="0" w:space="0" w:color="auto"/>
        <w:bottom w:val="none" w:sz="0" w:space="0" w:color="auto"/>
        <w:right w:val="none" w:sz="0" w:space="0" w:color="auto"/>
      </w:divBdr>
    </w:div>
    <w:div w:id="1570848884">
      <w:bodyDiv w:val="1"/>
      <w:marLeft w:val="0"/>
      <w:marRight w:val="0"/>
      <w:marTop w:val="0"/>
      <w:marBottom w:val="0"/>
      <w:divBdr>
        <w:top w:val="none" w:sz="0" w:space="0" w:color="auto"/>
        <w:left w:val="none" w:sz="0" w:space="0" w:color="auto"/>
        <w:bottom w:val="none" w:sz="0" w:space="0" w:color="auto"/>
        <w:right w:val="none" w:sz="0" w:space="0" w:color="auto"/>
      </w:divBdr>
      <w:divsChild>
        <w:div w:id="400256901">
          <w:marLeft w:val="480"/>
          <w:marRight w:val="0"/>
          <w:marTop w:val="0"/>
          <w:marBottom w:val="0"/>
          <w:divBdr>
            <w:top w:val="none" w:sz="0" w:space="0" w:color="auto"/>
            <w:left w:val="none" w:sz="0" w:space="0" w:color="auto"/>
            <w:bottom w:val="none" w:sz="0" w:space="0" w:color="auto"/>
            <w:right w:val="none" w:sz="0" w:space="0" w:color="auto"/>
          </w:divBdr>
          <w:divsChild>
            <w:div w:id="9381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rahuliyengar\Library\Mobile%20Documents\com~apple~CloudDocs\Documents\Research\Indonesia\Data%20Collection\HKI%20Costs%20Data%20V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rahuliyengar\Library\Mobile%20Documents\com~apple~CloudDocs\Documents\Research\Indonesia\Data%20Collection\HKI%20Costs%20Data%20V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7803325590279692"/>
          <c:y val="0.15610841398875325"/>
          <c:w val="0.80421253805335091"/>
          <c:h val="0.69190883952707338"/>
        </c:manualLayout>
      </c:layout>
      <c:barChart>
        <c:barDir val="col"/>
        <c:grouping val="stacked"/>
        <c:varyColors val="0"/>
        <c:ser>
          <c:idx val="0"/>
          <c:order val="0"/>
          <c:tx>
            <c:strRef>
              <c:f>'Summary-All'!$N$15</c:f>
              <c:strCache>
                <c:ptCount val="1"/>
                <c:pt idx="0">
                  <c:v>Sensitization</c:v>
                </c:pt>
              </c:strCache>
            </c:strRef>
          </c:tx>
          <c:spPr>
            <a:solidFill>
              <a:schemeClr val="accent5">
                <a:shade val="58000"/>
              </a:schemeClr>
            </a:solidFill>
            <a:ln>
              <a:noFill/>
            </a:ln>
            <a:effectLst/>
          </c:spPr>
          <c:invertIfNegative val="0"/>
          <c:cat>
            <c:strRef>
              <c:f>'Summary-All'!$O$14:$U$14</c:f>
              <c:strCache>
                <c:ptCount val="7"/>
                <c:pt idx="0">
                  <c:v>Makassar</c:v>
                </c:pt>
                <c:pt idx="1">
                  <c:v>Gowa</c:v>
                </c:pt>
                <c:pt idx="2">
                  <c:v>Bulukumba</c:v>
                </c:pt>
                <c:pt idx="3">
                  <c:v>Bone</c:v>
                </c:pt>
                <c:pt idx="4">
                  <c:v>Palopo</c:v>
                </c:pt>
                <c:pt idx="5">
                  <c:v>Parepare</c:v>
                </c:pt>
                <c:pt idx="6">
                  <c:v>Overall</c:v>
                </c:pt>
              </c:strCache>
            </c:strRef>
          </c:cat>
          <c:val>
            <c:numRef>
              <c:f>'Summary-All'!$O$15:$U$15</c:f>
              <c:numCache>
                <c:formatCode>_(* #,##0_);_(* \(#,##0\);_(* "-"??_);_(@_)</c:formatCode>
                <c:ptCount val="7"/>
                <c:pt idx="0">
                  <c:v>38558.866522794124</c:v>
                </c:pt>
                <c:pt idx="1">
                  <c:v>126653.40537839172</c:v>
                </c:pt>
                <c:pt idx="2">
                  <c:v>113140.822398071</c:v>
                </c:pt>
                <c:pt idx="3">
                  <c:v>417632.94863596675</c:v>
                </c:pt>
                <c:pt idx="4">
                  <c:v>83789.535971558682</c:v>
                </c:pt>
                <c:pt idx="5">
                  <c:v>63055.49014671403</c:v>
                </c:pt>
                <c:pt idx="6">
                  <c:v>87169.274955212939</c:v>
                </c:pt>
              </c:numCache>
            </c:numRef>
          </c:val>
          <c:extLst>
            <c:ext xmlns:c16="http://schemas.microsoft.com/office/drawing/2014/chart" uri="{C3380CC4-5D6E-409C-BE32-E72D297353CC}">
              <c16:uniqueId val="{00000000-D062-41CA-9465-C2671772B133}"/>
            </c:ext>
          </c:extLst>
        </c:ser>
        <c:ser>
          <c:idx val="1"/>
          <c:order val="1"/>
          <c:tx>
            <c:strRef>
              <c:f>'Summary-All'!$N$16</c:f>
              <c:strCache>
                <c:ptCount val="1"/>
                <c:pt idx="0">
                  <c:v>Training</c:v>
                </c:pt>
              </c:strCache>
            </c:strRef>
          </c:tx>
          <c:spPr>
            <a:solidFill>
              <a:schemeClr val="accent5">
                <a:shade val="86000"/>
              </a:schemeClr>
            </a:solidFill>
            <a:ln>
              <a:noFill/>
            </a:ln>
            <a:effectLst/>
          </c:spPr>
          <c:invertIfNegative val="0"/>
          <c:cat>
            <c:strRef>
              <c:f>'Summary-All'!$O$14:$U$14</c:f>
              <c:strCache>
                <c:ptCount val="7"/>
                <c:pt idx="0">
                  <c:v>Makassar</c:v>
                </c:pt>
                <c:pt idx="1">
                  <c:v>Gowa</c:v>
                </c:pt>
                <c:pt idx="2">
                  <c:v>Bulukumba</c:v>
                </c:pt>
                <c:pt idx="3">
                  <c:v>Bone</c:v>
                </c:pt>
                <c:pt idx="4">
                  <c:v>Palopo</c:v>
                </c:pt>
                <c:pt idx="5">
                  <c:v>Parepare</c:v>
                </c:pt>
                <c:pt idx="6">
                  <c:v>Overall</c:v>
                </c:pt>
              </c:strCache>
            </c:strRef>
          </c:cat>
          <c:val>
            <c:numRef>
              <c:f>'Summary-All'!$O$16:$U$16</c:f>
              <c:numCache>
                <c:formatCode>_(* #,##0_);_(* \(#,##0\);_(* "-"??_);_(@_)</c:formatCode>
                <c:ptCount val="7"/>
                <c:pt idx="0">
                  <c:v>131928.45449530377</c:v>
                </c:pt>
                <c:pt idx="1">
                  <c:v>320653.52280468715</c:v>
                </c:pt>
                <c:pt idx="2">
                  <c:v>201875.0881903946</c:v>
                </c:pt>
                <c:pt idx="3">
                  <c:v>970973.70106776617</c:v>
                </c:pt>
                <c:pt idx="4">
                  <c:v>160529.4234440299</c:v>
                </c:pt>
                <c:pt idx="5">
                  <c:v>111477.3566565536</c:v>
                </c:pt>
                <c:pt idx="6">
                  <c:v>201024.46248364408</c:v>
                </c:pt>
              </c:numCache>
            </c:numRef>
          </c:val>
          <c:extLst>
            <c:ext xmlns:c16="http://schemas.microsoft.com/office/drawing/2014/chart" uri="{C3380CC4-5D6E-409C-BE32-E72D297353CC}">
              <c16:uniqueId val="{00000001-D062-41CA-9465-C2671772B133}"/>
            </c:ext>
          </c:extLst>
        </c:ser>
        <c:ser>
          <c:idx val="2"/>
          <c:order val="2"/>
          <c:tx>
            <c:strRef>
              <c:f>'Summary-All'!$N$17</c:f>
              <c:strCache>
                <c:ptCount val="1"/>
                <c:pt idx="0">
                  <c:v>Service Delivery</c:v>
                </c:pt>
              </c:strCache>
            </c:strRef>
          </c:tx>
          <c:spPr>
            <a:solidFill>
              <a:schemeClr val="accent5">
                <a:tint val="86000"/>
              </a:schemeClr>
            </a:solidFill>
            <a:ln>
              <a:noFill/>
            </a:ln>
            <a:effectLst/>
          </c:spPr>
          <c:invertIfNegative val="0"/>
          <c:cat>
            <c:strRef>
              <c:f>'Summary-All'!$O$14:$U$14</c:f>
              <c:strCache>
                <c:ptCount val="7"/>
                <c:pt idx="0">
                  <c:v>Makassar</c:v>
                </c:pt>
                <c:pt idx="1">
                  <c:v>Gowa</c:v>
                </c:pt>
                <c:pt idx="2">
                  <c:v>Bulukumba</c:v>
                </c:pt>
                <c:pt idx="3">
                  <c:v>Bone</c:v>
                </c:pt>
                <c:pt idx="4">
                  <c:v>Palopo</c:v>
                </c:pt>
                <c:pt idx="5">
                  <c:v>Parepare</c:v>
                </c:pt>
                <c:pt idx="6">
                  <c:v>Overall</c:v>
                </c:pt>
              </c:strCache>
            </c:strRef>
          </c:cat>
          <c:val>
            <c:numRef>
              <c:f>'Summary-All'!$O$17:$U$17</c:f>
              <c:numCache>
                <c:formatCode>_(* #,##0_);_(* \(#,##0\);_(* "-"??_);_(@_)</c:formatCode>
                <c:ptCount val="7"/>
                <c:pt idx="0">
                  <c:v>258693.44650636177</c:v>
                </c:pt>
                <c:pt idx="1">
                  <c:v>424875.43489338265</c:v>
                </c:pt>
                <c:pt idx="2">
                  <c:v>353623.25769703771</c:v>
                </c:pt>
                <c:pt idx="3">
                  <c:v>555126.37266303925</c:v>
                </c:pt>
                <c:pt idx="4">
                  <c:v>353006.9344441822</c:v>
                </c:pt>
                <c:pt idx="5">
                  <c:v>339708.53669485543</c:v>
                </c:pt>
                <c:pt idx="6">
                  <c:v>331995.34950523399</c:v>
                </c:pt>
              </c:numCache>
            </c:numRef>
          </c:val>
          <c:extLst>
            <c:ext xmlns:c16="http://schemas.microsoft.com/office/drawing/2014/chart" uri="{C3380CC4-5D6E-409C-BE32-E72D297353CC}">
              <c16:uniqueId val="{00000002-D062-41CA-9465-C2671772B133}"/>
            </c:ext>
          </c:extLst>
        </c:ser>
        <c:ser>
          <c:idx val="3"/>
          <c:order val="3"/>
          <c:tx>
            <c:strRef>
              <c:f>'Summary-All'!$N$18</c:f>
              <c:strCache>
                <c:ptCount val="1"/>
                <c:pt idx="0">
                  <c:v>HKI Program Mgmt</c:v>
                </c:pt>
              </c:strCache>
            </c:strRef>
          </c:tx>
          <c:spPr>
            <a:solidFill>
              <a:schemeClr val="accent5">
                <a:tint val="58000"/>
              </a:schemeClr>
            </a:solidFill>
            <a:ln>
              <a:noFill/>
            </a:ln>
            <a:effectLst/>
          </c:spPr>
          <c:invertIfNegative val="0"/>
          <c:cat>
            <c:strRef>
              <c:f>'Summary-All'!$O$14:$U$14</c:f>
              <c:strCache>
                <c:ptCount val="7"/>
                <c:pt idx="0">
                  <c:v>Makassar</c:v>
                </c:pt>
                <c:pt idx="1">
                  <c:v>Gowa</c:v>
                </c:pt>
                <c:pt idx="2">
                  <c:v>Bulukumba</c:v>
                </c:pt>
                <c:pt idx="3">
                  <c:v>Bone</c:v>
                </c:pt>
                <c:pt idx="4">
                  <c:v>Palopo</c:v>
                </c:pt>
                <c:pt idx="5">
                  <c:v>Parepare</c:v>
                </c:pt>
                <c:pt idx="6">
                  <c:v>Overall</c:v>
                </c:pt>
              </c:strCache>
            </c:strRef>
          </c:cat>
          <c:val>
            <c:numRef>
              <c:f>'Summary-All'!$O$18:$U$18</c:f>
              <c:numCache>
                <c:formatCode>_(* #,##0_);_(* \(#,##0\);_(* "-"??_);_(@_)</c:formatCode>
                <c:ptCount val="7"/>
                <c:pt idx="0">
                  <c:v>32501.248808820015</c:v>
                </c:pt>
                <c:pt idx="1">
                  <c:v>94076.104891357099</c:v>
                </c:pt>
                <c:pt idx="2">
                  <c:v>66423.317237697731</c:v>
                </c:pt>
                <c:pt idx="3">
                  <c:v>272913.9541016398</c:v>
                </c:pt>
                <c:pt idx="4">
                  <c:v>61464.656763696374</c:v>
                </c:pt>
                <c:pt idx="5">
                  <c:v>45924.279657267158</c:v>
                </c:pt>
                <c:pt idx="6">
                  <c:v>61453.508341511275</c:v>
                </c:pt>
              </c:numCache>
            </c:numRef>
          </c:val>
          <c:extLst>
            <c:ext xmlns:c16="http://schemas.microsoft.com/office/drawing/2014/chart" uri="{C3380CC4-5D6E-409C-BE32-E72D297353CC}">
              <c16:uniqueId val="{00000003-D062-41CA-9465-C2671772B133}"/>
            </c:ext>
          </c:extLst>
        </c:ser>
        <c:dLbls>
          <c:showLegendKey val="0"/>
          <c:showVal val="0"/>
          <c:showCatName val="0"/>
          <c:showSerName val="0"/>
          <c:showPercent val="0"/>
          <c:showBubbleSize val="0"/>
        </c:dLbls>
        <c:gapWidth val="81"/>
        <c:overlap val="100"/>
        <c:axId val="517553280"/>
        <c:axId val="517550984"/>
      </c:barChart>
      <c:catAx>
        <c:axId val="51755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7550984"/>
        <c:crosses val="autoZero"/>
        <c:auto val="1"/>
        <c:lblAlgn val="ctr"/>
        <c:lblOffset val="100"/>
        <c:noMultiLvlLbl val="0"/>
      </c:catAx>
      <c:valAx>
        <c:axId val="517550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US" sz="1200" baseline="0"/>
                  <a:t>Cost/Student Receiving Glasses (IDR)</a:t>
                </a:r>
              </a:p>
            </c:rich>
          </c:tx>
          <c:layout>
            <c:manualLayout>
              <c:xMode val="edge"/>
              <c:yMode val="edge"/>
              <c:x val="7.2536846355743994E-3"/>
              <c:y val="0.13368155507127827"/>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55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17803325590279692"/>
          <c:y val="0.15610841398875325"/>
          <c:w val="0.80421253805335091"/>
          <c:h val="0.69190883952707338"/>
        </c:manualLayout>
      </c:layout>
      <c:barChart>
        <c:barDir val="col"/>
        <c:grouping val="stacked"/>
        <c:varyColors val="0"/>
        <c:ser>
          <c:idx val="0"/>
          <c:order val="0"/>
          <c:tx>
            <c:strRef>
              <c:f>'Summary-All'!$N$8</c:f>
              <c:strCache>
                <c:ptCount val="1"/>
                <c:pt idx="0">
                  <c:v>Labor</c:v>
                </c:pt>
              </c:strCache>
            </c:strRef>
          </c:tx>
          <c:spPr>
            <a:solidFill>
              <a:schemeClr val="accent6">
                <a:shade val="53000"/>
              </a:schemeClr>
            </a:solidFill>
            <a:ln>
              <a:noFill/>
            </a:ln>
            <a:effectLst/>
          </c:spPr>
          <c:invertIfNegative val="0"/>
          <c:cat>
            <c:strRef>
              <c:f>'Summary-All'!$O$7:$U$7</c:f>
              <c:strCache>
                <c:ptCount val="7"/>
                <c:pt idx="0">
                  <c:v>Makassar</c:v>
                </c:pt>
                <c:pt idx="1">
                  <c:v>Gowa</c:v>
                </c:pt>
                <c:pt idx="2">
                  <c:v>Bulukumba</c:v>
                </c:pt>
                <c:pt idx="3">
                  <c:v>Bone</c:v>
                </c:pt>
                <c:pt idx="4">
                  <c:v>Palopo</c:v>
                </c:pt>
                <c:pt idx="5">
                  <c:v>Parepare</c:v>
                </c:pt>
                <c:pt idx="6">
                  <c:v>Overall</c:v>
                </c:pt>
              </c:strCache>
            </c:strRef>
          </c:cat>
          <c:val>
            <c:numRef>
              <c:f>'Summary-All'!$O$8:$U$8</c:f>
              <c:numCache>
                <c:formatCode>_(* #,##0_);_(* \(#,##0\);_(* "-"??_);_(@_)</c:formatCode>
                <c:ptCount val="7"/>
                <c:pt idx="0">
                  <c:v>92239.974244290453</c:v>
                </c:pt>
                <c:pt idx="1">
                  <c:v>244350.07706014725</c:v>
                </c:pt>
                <c:pt idx="2">
                  <c:v>166163.32134367406</c:v>
                </c:pt>
                <c:pt idx="3">
                  <c:v>712005.67137481726</c:v>
                </c:pt>
                <c:pt idx="4">
                  <c:v>147823.04998375941</c:v>
                </c:pt>
                <c:pt idx="5">
                  <c:v>111824.4210985364</c:v>
                </c:pt>
                <c:pt idx="6">
                  <c:v>158818.60117372783</c:v>
                </c:pt>
              </c:numCache>
            </c:numRef>
          </c:val>
          <c:extLst>
            <c:ext xmlns:c16="http://schemas.microsoft.com/office/drawing/2014/chart" uri="{C3380CC4-5D6E-409C-BE32-E72D297353CC}">
              <c16:uniqueId val="{00000000-BBA3-47E0-8D8C-93B9D16D2E95}"/>
            </c:ext>
          </c:extLst>
        </c:ser>
        <c:ser>
          <c:idx val="1"/>
          <c:order val="1"/>
          <c:tx>
            <c:strRef>
              <c:f>'Summary-All'!$N$9</c:f>
              <c:strCache>
                <c:ptCount val="1"/>
                <c:pt idx="0">
                  <c:v>Honorarium</c:v>
                </c:pt>
              </c:strCache>
            </c:strRef>
          </c:tx>
          <c:spPr>
            <a:solidFill>
              <a:schemeClr val="accent6">
                <a:shade val="76000"/>
              </a:schemeClr>
            </a:solidFill>
            <a:ln>
              <a:noFill/>
            </a:ln>
            <a:effectLst/>
          </c:spPr>
          <c:invertIfNegative val="0"/>
          <c:cat>
            <c:strRef>
              <c:f>'Summary-All'!$O$7:$U$7</c:f>
              <c:strCache>
                <c:ptCount val="7"/>
                <c:pt idx="0">
                  <c:v>Makassar</c:v>
                </c:pt>
                <c:pt idx="1">
                  <c:v>Gowa</c:v>
                </c:pt>
                <c:pt idx="2">
                  <c:v>Bulukumba</c:v>
                </c:pt>
                <c:pt idx="3">
                  <c:v>Bone</c:v>
                </c:pt>
                <c:pt idx="4">
                  <c:v>Palopo</c:v>
                </c:pt>
                <c:pt idx="5">
                  <c:v>Parepare</c:v>
                </c:pt>
                <c:pt idx="6">
                  <c:v>Overall</c:v>
                </c:pt>
              </c:strCache>
            </c:strRef>
          </c:cat>
          <c:val>
            <c:numRef>
              <c:f>'Summary-All'!$O$9:$U$9</c:f>
              <c:numCache>
                <c:formatCode>_(* #,##0_);_(* \(#,##0\);_(* "-"??_);_(@_)</c:formatCode>
                <c:ptCount val="7"/>
                <c:pt idx="0">
                  <c:v>17662.337662337661</c:v>
                </c:pt>
                <c:pt idx="1">
                  <c:v>46956.52173913044</c:v>
                </c:pt>
                <c:pt idx="2">
                  <c:v>30952.38095238095</c:v>
                </c:pt>
                <c:pt idx="3">
                  <c:v>137931.03448275864</c:v>
                </c:pt>
                <c:pt idx="4">
                  <c:v>20363.636363636364</c:v>
                </c:pt>
                <c:pt idx="5">
                  <c:v>11764.705882352941</c:v>
                </c:pt>
                <c:pt idx="6">
                  <c:v>27674.190382728164</c:v>
                </c:pt>
              </c:numCache>
            </c:numRef>
          </c:val>
          <c:extLst>
            <c:ext xmlns:c16="http://schemas.microsoft.com/office/drawing/2014/chart" uri="{C3380CC4-5D6E-409C-BE32-E72D297353CC}">
              <c16:uniqueId val="{00000001-BBA3-47E0-8D8C-93B9D16D2E95}"/>
            </c:ext>
          </c:extLst>
        </c:ser>
        <c:ser>
          <c:idx val="2"/>
          <c:order val="2"/>
          <c:tx>
            <c:strRef>
              <c:f>'Summary-All'!$N$10</c:f>
              <c:strCache>
                <c:ptCount val="1"/>
                <c:pt idx="0">
                  <c:v>Meeting Package</c:v>
                </c:pt>
              </c:strCache>
            </c:strRef>
          </c:tx>
          <c:spPr>
            <a:solidFill>
              <a:schemeClr val="accent6"/>
            </a:solidFill>
            <a:ln>
              <a:noFill/>
            </a:ln>
            <a:effectLst/>
          </c:spPr>
          <c:invertIfNegative val="0"/>
          <c:cat>
            <c:strRef>
              <c:f>'Summary-All'!$O$7:$U$7</c:f>
              <c:strCache>
                <c:ptCount val="7"/>
                <c:pt idx="0">
                  <c:v>Makassar</c:v>
                </c:pt>
                <c:pt idx="1">
                  <c:v>Gowa</c:v>
                </c:pt>
                <c:pt idx="2">
                  <c:v>Bulukumba</c:v>
                </c:pt>
                <c:pt idx="3">
                  <c:v>Bone</c:v>
                </c:pt>
                <c:pt idx="4">
                  <c:v>Palopo</c:v>
                </c:pt>
                <c:pt idx="5">
                  <c:v>Parepare</c:v>
                </c:pt>
                <c:pt idx="6">
                  <c:v>Overall</c:v>
                </c:pt>
              </c:strCache>
            </c:strRef>
          </c:cat>
          <c:val>
            <c:numRef>
              <c:f>'Summary-All'!$O$10:$U$10</c:f>
              <c:numCache>
                <c:formatCode>_(* #,##0_);_(* \(#,##0\);_(* "-"??_);_(@_)</c:formatCode>
                <c:ptCount val="7"/>
                <c:pt idx="0">
                  <c:v>109544.22706915523</c:v>
                </c:pt>
                <c:pt idx="1">
                  <c:v>287611.71919111785</c:v>
                </c:pt>
                <c:pt idx="2">
                  <c:v>205919.71572369119</c:v>
                </c:pt>
                <c:pt idx="3">
                  <c:v>891450.15484832553</c:v>
                </c:pt>
                <c:pt idx="4">
                  <c:v>158021.50459266055</c:v>
                </c:pt>
                <c:pt idx="5">
                  <c:v>113382.2000730798</c:v>
                </c:pt>
                <c:pt idx="6">
                  <c:v>186089.69578017667</c:v>
                </c:pt>
              </c:numCache>
            </c:numRef>
          </c:val>
          <c:extLst>
            <c:ext xmlns:c16="http://schemas.microsoft.com/office/drawing/2014/chart" uri="{C3380CC4-5D6E-409C-BE32-E72D297353CC}">
              <c16:uniqueId val="{00000002-BBA3-47E0-8D8C-93B9D16D2E95}"/>
            </c:ext>
          </c:extLst>
        </c:ser>
        <c:ser>
          <c:idx val="3"/>
          <c:order val="3"/>
          <c:tx>
            <c:strRef>
              <c:f>'Summary-All'!$N$11</c:f>
              <c:strCache>
                <c:ptCount val="1"/>
                <c:pt idx="0">
                  <c:v>Eyeglasses</c:v>
                </c:pt>
              </c:strCache>
            </c:strRef>
          </c:tx>
          <c:spPr>
            <a:solidFill>
              <a:schemeClr val="accent6">
                <a:tint val="77000"/>
              </a:schemeClr>
            </a:solidFill>
            <a:ln>
              <a:noFill/>
            </a:ln>
            <a:effectLst/>
          </c:spPr>
          <c:invertIfNegative val="0"/>
          <c:cat>
            <c:strRef>
              <c:f>'Summary-All'!$O$7:$U$7</c:f>
              <c:strCache>
                <c:ptCount val="7"/>
                <c:pt idx="0">
                  <c:v>Makassar</c:v>
                </c:pt>
                <c:pt idx="1">
                  <c:v>Gowa</c:v>
                </c:pt>
                <c:pt idx="2">
                  <c:v>Bulukumba</c:v>
                </c:pt>
                <c:pt idx="3">
                  <c:v>Bone</c:v>
                </c:pt>
                <c:pt idx="4">
                  <c:v>Palopo</c:v>
                </c:pt>
                <c:pt idx="5">
                  <c:v>Parepare</c:v>
                </c:pt>
                <c:pt idx="6">
                  <c:v>Overall</c:v>
                </c:pt>
              </c:strCache>
            </c:strRef>
          </c:cat>
          <c:val>
            <c:numRef>
              <c:f>'Summary-All'!$O$11:$U$11</c:f>
              <c:numCache>
                <c:formatCode>_(* #,##0_);_(* \(#,##0\);_(* "-"??_);_(@_)</c:formatCode>
                <c:ptCount val="7"/>
                <c:pt idx="0">
                  <c:v>221449.35064935058</c:v>
                </c:pt>
                <c:pt idx="1">
                  <c:v>327173.91304347827</c:v>
                </c:pt>
                <c:pt idx="2">
                  <c:v>289546.13095238089</c:v>
                </c:pt>
                <c:pt idx="3">
                  <c:v>300718.39080459776</c:v>
                </c:pt>
                <c:pt idx="4">
                  <c:v>293272.72727272724</c:v>
                </c:pt>
                <c:pt idx="5">
                  <c:v>293823.5294117647</c:v>
                </c:pt>
                <c:pt idx="6">
                  <c:v>269757.60549558391</c:v>
                </c:pt>
              </c:numCache>
            </c:numRef>
          </c:val>
          <c:extLst>
            <c:ext xmlns:c16="http://schemas.microsoft.com/office/drawing/2014/chart" uri="{C3380CC4-5D6E-409C-BE32-E72D297353CC}">
              <c16:uniqueId val="{00000003-BBA3-47E0-8D8C-93B9D16D2E95}"/>
            </c:ext>
          </c:extLst>
        </c:ser>
        <c:ser>
          <c:idx val="4"/>
          <c:order val="4"/>
          <c:tx>
            <c:strRef>
              <c:f>'Summary-All'!$N$12</c:f>
              <c:strCache>
                <c:ptCount val="1"/>
                <c:pt idx="0">
                  <c:v>Travel</c:v>
                </c:pt>
              </c:strCache>
            </c:strRef>
          </c:tx>
          <c:spPr>
            <a:solidFill>
              <a:schemeClr val="accent6">
                <a:tint val="54000"/>
              </a:schemeClr>
            </a:solidFill>
            <a:ln>
              <a:noFill/>
            </a:ln>
            <a:effectLst/>
          </c:spPr>
          <c:invertIfNegative val="0"/>
          <c:cat>
            <c:strRef>
              <c:f>'Summary-All'!$O$7:$U$7</c:f>
              <c:strCache>
                <c:ptCount val="7"/>
                <c:pt idx="0">
                  <c:v>Makassar</c:v>
                </c:pt>
                <c:pt idx="1">
                  <c:v>Gowa</c:v>
                </c:pt>
                <c:pt idx="2">
                  <c:v>Bulukumba</c:v>
                </c:pt>
                <c:pt idx="3">
                  <c:v>Bone</c:v>
                </c:pt>
                <c:pt idx="4">
                  <c:v>Palopo</c:v>
                </c:pt>
                <c:pt idx="5">
                  <c:v>Parepare</c:v>
                </c:pt>
                <c:pt idx="6">
                  <c:v>Overall</c:v>
                </c:pt>
              </c:strCache>
            </c:strRef>
          </c:cat>
          <c:val>
            <c:numRef>
              <c:f>'Summary-All'!$O$12:$U$12</c:f>
              <c:numCache>
                <c:formatCode>_(* #,##0_);_(* \(#,##0\);_(* "-"??_);_(@_)</c:formatCode>
                <c:ptCount val="7"/>
                <c:pt idx="0">
                  <c:v>20786.126708145777</c:v>
                </c:pt>
                <c:pt idx="1">
                  <c:v>60166.236933944951</c:v>
                </c:pt>
                <c:pt idx="2">
                  <c:v>42480.936551073886</c:v>
                </c:pt>
                <c:pt idx="3">
                  <c:v>174541.72495791316</c:v>
                </c:pt>
                <c:pt idx="4">
                  <c:v>39309.63241068356</c:v>
                </c:pt>
                <c:pt idx="5">
                  <c:v>29370.806689656354</c:v>
                </c:pt>
                <c:pt idx="6">
                  <c:v>39302.50245338567</c:v>
                </c:pt>
              </c:numCache>
            </c:numRef>
          </c:val>
          <c:extLst>
            <c:ext xmlns:c16="http://schemas.microsoft.com/office/drawing/2014/chart" uri="{C3380CC4-5D6E-409C-BE32-E72D297353CC}">
              <c16:uniqueId val="{00000004-BBA3-47E0-8D8C-93B9D16D2E95}"/>
            </c:ext>
          </c:extLst>
        </c:ser>
        <c:dLbls>
          <c:showLegendKey val="0"/>
          <c:showVal val="0"/>
          <c:showCatName val="0"/>
          <c:showSerName val="0"/>
          <c:showPercent val="0"/>
          <c:showBubbleSize val="0"/>
        </c:dLbls>
        <c:gapWidth val="81"/>
        <c:overlap val="100"/>
        <c:axId val="517553280"/>
        <c:axId val="517550984"/>
      </c:barChart>
      <c:catAx>
        <c:axId val="51755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7550984"/>
        <c:crosses val="autoZero"/>
        <c:auto val="1"/>
        <c:lblAlgn val="ctr"/>
        <c:lblOffset val="100"/>
        <c:noMultiLvlLbl val="0"/>
      </c:catAx>
      <c:valAx>
        <c:axId val="517550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aseline="0"/>
                  <a:t>Cost per Student Receiving Glasses (IDR)</a:t>
                </a:r>
              </a:p>
            </c:rich>
          </c:tx>
          <c:layout>
            <c:manualLayout>
              <c:xMode val="edge"/>
              <c:yMode val="edge"/>
              <c:x val="1.1527188909078671E-2"/>
              <c:y val="0.11104887916022313"/>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55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77EA2-7AC2-429E-98EB-AE850AFA0E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203DD-E115-42C9-B5A5-179ED58A6D14}">
  <ds:schemaRefs>
    <ds:schemaRef ds:uri="http://schemas.microsoft.com/sharepoint/v3/contenttype/forms"/>
  </ds:schemaRefs>
</ds:datastoreItem>
</file>

<file path=customXml/itemProps3.xml><?xml version="1.0" encoding="utf-8"?>
<ds:datastoreItem xmlns:ds="http://schemas.openxmlformats.org/officeDocument/2006/customXml" ds:itemID="{C755CE9D-4F6C-41C1-B957-D40D6AAB1CA8}"/>
</file>

<file path=customXml/itemProps4.xml><?xml version="1.0" encoding="utf-8"?>
<ds:datastoreItem xmlns:ds="http://schemas.openxmlformats.org/officeDocument/2006/customXml" ds:itemID="{1913FDD4-FADA-493E-9C5C-45497F3E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3758</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Iyengar</dc:creator>
  <cp:keywords/>
  <dc:description/>
  <cp:lastModifiedBy>Satyaprabha Kotha</cp:lastModifiedBy>
  <cp:revision>3</cp:revision>
  <dcterms:created xsi:type="dcterms:W3CDTF">2020-11-16T13:35:00Z</dcterms:created>
  <dcterms:modified xsi:type="dcterms:W3CDTF">2020-12-14T10:28:00Z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