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F2CED" w14:textId="7010203B" w:rsidR="003E563E" w:rsidRPr="009752F7" w:rsidRDefault="00507A5E" w:rsidP="003E563E">
      <w:pPr>
        <w:spacing w:after="0" w:line="288" w:lineRule="auto"/>
        <w:jc w:val="center"/>
        <w:rPr>
          <w:rFonts w:ascii="Arial" w:eastAsia="Times New Roman" w:hAnsi="Arial" w:cs="Arial"/>
          <w:b/>
          <w:color w:val="253746"/>
        </w:rPr>
      </w:pPr>
      <w:r>
        <w:rPr>
          <w:rFonts w:ascii="Arial" w:eastAsia="Times New Roman" w:hAnsi="Arial" w:cs="Arial"/>
          <w:b/>
          <w:color w:val="253746"/>
        </w:rPr>
        <w:t>Governance and Compliance</w:t>
      </w:r>
      <w:r w:rsidR="00F77731">
        <w:rPr>
          <w:rFonts w:ascii="Arial" w:eastAsia="Times New Roman" w:hAnsi="Arial" w:cs="Arial"/>
          <w:b/>
          <w:color w:val="253746"/>
        </w:rPr>
        <w:t xml:space="preserve"> Manager</w:t>
      </w:r>
    </w:p>
    <w:p w14:paraId="4C7B7AD4" w14:textId="77777777" w:rsidR="003E563E" w:rsidRPr="00BA1B2B" w:rsidRDefault="003E563E" w:rsidP="003E563E">
      <w:pPr>
        <w:spacing w:after="0" w:line="240" w:lineRule="auto"/>
        <w:rPr>
          <w:rFonts w:ascii="Arial" w:eastAsia="Times New Roman" w:hAnsi="Arial" w:cs="Arial"/>
          <w:b/>
        </w:rPr>
      </w:pPr>
      <w:r w:rsidRPr="00BA1B2B">
        <w:rPr>
          <w:rFonts w:ascii="Arial" w:eastAsia="Times New Roman" w:hAnsi="Arial" w:cs="Arial"/>
          <w:b/>
        </w:rPr>
        <w:t>About Orbis UK</w:t>
      </w:r>
    </w:p>
    <w:p w14:paraId="75091120" w14:textId="77777777" w:rsidR="002147F7" w:rsidRPr="002147F7" w:rsidRDefault="002147F7" w:rsidP="002147F7">
      <w:pPr>
        <w:spacing w:after="0" w:line="240" w:lineRule="auto"/>
        <w:rPr>
          <w:rFonts w:ascii="Arial" w:eastAsia="Times New Roman" w:hAnsi="Arial" w:cs="Arial"/>
          <w:color w:val="000000"/>
        </w:rPr>
      </w:pPr>
      <w:r w:rsidRPr="002147F7">
        <w:rPr>
          <w:rFonts w:ascii="Arial" w:eastAsia="Times New Roman" w:hAnsi="Arial" w:cs="Arial"/>
          <w:color w:val="000000"/>
        </w:rPr>
        <w:t>Orbis is an international eye care charity that prevents and treats avoidable blindness and visual impairment.</w:t>
      </w:r>
    </w:p>
    <w:p w14:paraId="77E2E09F" w14:textId="77777777" w:rsidR="002147F7" w:rsidRPr="002147F7" w:rsidRDefault="002147F7" w:rsidP="002147F7">
      <w:pPr>
        <w:spacing w:after="0" w:line="240" w:lineRule="auto"/>
        <w:rPr>
          <w:rFonts w:ascii="Arial" w:eastAsia="Times New Roman" w:hAnsi="Arial" w:cs="Arial"/>
          <w:color w:val="000000"/>
        </w:rPr>
      </w:pPr>
    </w:p>
    <w:p w14:paraId="55D03875" w14:textId="77777777" w:rsidR="002147F7" w:rsidRPr="002147F7" w:rsidRDefault="002147F7" w:rsidP="002147F7">
      <w:pPr>
        <w:spacing w:after="0" w:line="240" w:lineRule="auto"/>
        <w:rPr>
          <w:rFonts w:ascii="Arial" w:eastAsia="Times New Roman" w:hAnsi="Arial" w:cs="Arial"/>
          <w:color w:val="000000"/>
        </w:rPr>
      </w:pPr>
      <w:r w:rsidRPr="002147F7">
        <w:rPr>
          <w:rFonts w:ascii="Arial" w:eastAsia="Times New Roman" w:hAnsi="Arial" w:cs="Arial"/>
          <w:color w:val="000000"/>
        </w:rPr>
        <w:t>Of the 253 million people in the world who are blind or visually impaired, 75% have conditions that are preventable or treatable. We screen for and treat eye conditions, raise awareness about eye health, and train and mentor local eye care teams in Africa, Asia and Latin America, where most of those people live.</w:t>
      </w:r>
    </w:p>
    <w:p w14:paraId="3012D4B8" w14:textId="77777777" w:rsidR="002147F7" w:rsidRPr="002147F7" w:rsidRDefault="002147F7" w:rsidP="002147F7">
      <w:pPr>
        <w:spacing w:after="0" w:line="240" w:lineRule="auto"/>
        <w:rPr>
          <w:rFonts w:ascii="Arial" w:eastAsia="Times New Roman" w:hAnsi="Arial" w:cs="Arial"/>
          <w:color w:val="000000"/>
        </w:rPr>
      </w:pPr>
    </w:p>
    <w:p w14:paraId="5D77661E" w14:textId="77777777" w:rsidR="002147F7" w:rsidRPr="002147F7" w:rsidRDefault="002147F7" w:rsidP="002147F7">
      <w:pPr>
        <w:spacing w:after="0" w:line="240" w:lineRule="auto"/>
        <w:rPr>
          <w:rFonts w:ascii="Arial" w:eastAsia="Times New Roman" w:hAnsi="Arial" w:cs="Arial"/>
          <w:color w:val="000000"/>
        </w:rPr>
      </w:pPr>
      <w:r w:rsidRPr="002147F7">
        <w:rPr>
          <w:rFonts w:ascii="Arial" w:eastAsia="Times New Roman" w:hAnsi="Arial" w:cs="Arial"/>
          <w:color w:val="000000"/>
        </w:rPr>
        <w:t>We do this through our long-term programmes as well as on the Orbis Flying Eye Hospital, a state-of-the-art ophthalmic teaching hospital on board a customised aircraft.</w:t>
      </w:r>
    </w:p>
    <w:p w14:paraId="48956D7B" w14:textId="77777777" w:rsidR="002147F7" w:rsidRPr="002147F7" w:rsidRDefault="002147F7" w:rsidP="002147F7">
      <w:pPr>
        <w:spacing w:after="0" w:line="240" w:lineRule="auto"/>
        <w:rPr>
          <w:rFonts w:ascii="Arial" w:eastAsia="Times New Roman" w:hAnsi="Arial" w:cs="Arial"/>
          <w:color w:val="000000"/>
        </w:rPr>
      </w:pPr>
    </w:p>
    <w:p w14:paraId="6FCBE808" w14:textId="2795E6B2" w:rsidR="009752F7" w:rsidRDefault="002147F7" w:rsidP="002147F7">
      <w:pPr>
        <w:spacing w:after="0" w:line="240" w:lineRule="auto"/>
        <w:rPr>
          <w:rFonts w:ascii="Arial" w:eastAsia="Times New Roman" w:hAnsi="Arial" w:cs="Arial"/>
          <w:color w:val="000000"/>
        </w:rPr>
      </w:pPr>
      <w:r w:rsidRPr="002147F7">
        <w:rPr>
          <w:rFonts w:ascii="Arial" w:eastAsia="Times New Roman" w:hAnsi="Arial" w:cs="Arial"/>
          <w:color w:val="000000"/>
        </w:rPr>
        <w:t>You will be joining Orbis UK at an exciting time as we have rapidly grown over the past few years, with our income increasing from under £3M in 2010 to over £8M in 2017. We are also in the midst of an organisational wide digital transformation programme. We are looking to innovate and adapt to ensure we are best placed to succeed in a digital climate. Every member of the organisation is involved in this process and your input will be vital.</w:t>
      </w:r>
    </w:p>
    <w:p w14:paraId="3CBFFA6E" w14:textId="77777777" w:rsidR="002147F7" w:rsidRPr="009752F7" w:rsidRDefault="002147F7" w:rsidP="002147F7">
      <w:pPr>
        <w:spacing w:after="0" w:line="240" w:lineRule="auto"/>
        <w:rPr>
          <w:rFonts w:ascii="Arial" w:eastAsia="Times New Roman" w:hAnsi="Arial" w:cs="Arial"/>
          <w:color w:val="000000"/>
        </w:rPr>
      </w:pPr>
    </w:p>
    <w:p w14:paraId="73523CBF" w14:textId="53C45246" w:rsidR="009752F7" w:rsidRPr="00BA1B2B" w:rsidRDefault="009752F7" w:rsidP="009752F7">
      <w:pPr>
        <w:pStyle w:val="NoSpacing"/>
        <w:rPr>
          <w:rFonts w:ascii="Arial" w:hAnsi="Arial" w:cs="Arial"/>
          <w:b/>
        </w:rPr>
      </w:pPr>
      <w:r w:rsidRPr="00BA1B2B">
        <w:rPr>
          <w:rFonts w:ascii="Arial" w:eastAsia="Times New Roman" w:hAnsi="Arial" w:cs="Arial"/>
          <w:b/>
        </w:rPr>
        <w:t>About the role</w:t>
      </w:r>
    </w:p>
    <w:p w14:paraId="48B4D190" w14:textId="77777777" w:rsidR="00FF6D25" w:rsidRDefault="00FF6D25" w:rsidP="00FF6D25">
      <w:pPr>
        <w:rPr>
          <w:rFonts w:ascii="Arial" w:hAnsi="Arial" w:cs="Arial"/>
        </w:rPr>
      </w:pPr>
      <w:r w:rsidRPr="00581CA3">
        <w:rPr>
          <w:rFonts w:ascii="Arial" w:hAnsi="Arial" w:cs="Arial"/>
        </w:rPr>
        <w:t xml:space="preserve">You will be responsible for </w:t>
      </w:r>
      <w:r>
        <w:rPr>
          <w:rFonts w:ascii="Arial" w:hAnsi="Arial" w:cs="Arial"/>
        </w:rPr>
        <w:t>a portfolio that covers Trustee governance, regulatory compliance, legal agreements, policy development, data protection and risk management.  Working across departments you will ensure that Orbis UK complies with UK legal and regulatory requirements.  You will be Orbis UK’s data protection lead and will be responsible for policy and risk management development.</w:t>
      </w:r>
    </w:p>
    <w:p w14:paraId="50B12756" w14:textId="77777777" w:rsidR="003E563E" w:rsidRPr="003E563E" w:rsidRDefault="003E563E" w:rsidP="003E563E">
      <w:pPr>
        <w:spacing w:after="0" w:line="240" w:lineRule="auto"/>
        <w:rPr>
          <w:rFonts w:ascii="Arial" w:eastAsia="Times New Roman" w:hAnsi="Arial"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5317"/>
      </w:tblGrid>
      <w:tr w:rsidR="003E563E" w:rsidRPr="003E563E" w14:paraId="6830D552" w14:textId="77777777" w:rsidTr="003E563E">
        <w:trPr>
          <w:trHeight w:val="265"/>
        </w:trPr>
        <w:tc>
          <w:tcPr>
            <w:tcW w:w="0" w:type="auto"/>
          </w:tcPr>
          <w:p w14:paraId="02FB6393" w14:textId="77777777" w:rsidR="003E563E" w:rsidRPr="003E563E" w:rsidRDefault="003E563E" w:rsidP="003E563E">
            <w:pPr>
              <w:rPr>
                <w:rFonts w:ascii="Arial" w:hAnsi="Arial" w:cs="Arial"/>
                <w:sz w:val="22"/>
                <w:szCs w:val="22"/>
              </w:rPr>
            </w:pPr>
            <w:r w:rsidRPr="003E563E">
              <w:rPr>
                <w:rFonts w:ascii="Arial" w:hAnsi="Arial" w:cs="Arial"/>
                <w:sz w:val="22"/>
                <w:szCs w:val="22"/>
              </w:rPr>
              <w:t>Title:</w:t>
            </w:r>
          </w:p>
        </w:tc>
        <w:tc>
          <w:tcPr>
            <w:tcW w:w="0" w:type="auto"/>
          </w:tcPr>
          <w:p w14:paraId="01279FF9" w14:textId="747857AF" w:rsidR="003E563E" w:rsidRPr="003E563E" w:rsidRDefault="00FF6D25" w:rsidP="003E563E">
            <w:pPr>
              <w:rPr>
                <w:rFonts w:ascii="Arial" w:hAnsi="Arial" w:cs="Arial"/>
                <w:color w:val="000000" w:themeColor="text1"/>
                <w:sz w:val="22"/>
                <w:szCs w:val="22"/>
              </w:rPr>
            </w:pPr>
            <w:r>
              <w:rPr>
                <w:rFonts w:ascii="Arial" w:hAnsi="Arial" w:cs="Arial"/>
                <w:color w:val="000000" w:themeColor="text1"/>
                <w:sz w:val="22"/>
                <w:szCs w:val="22"/>
              </w:rPr>
              <w:t>Governance and Compliance</w:t>
            </w:r>
            <w:r w:rsidR="00F77731">
              <w:rPr>
                <w:rFonts w:ascii="Arial" w:hAnsi="Arial" w:cs="Arial"/>
                <w:color w:val="000000" w:themeColor="text1"/>
                <w:sz w:val="22"/>
                <w:szCs w:val="22"/>
              </w:rPr>
              <w:t xml:space="preserve"> Manager</w:t>
            </w:r>
          </w:p>
        </w:tc>
      </w:tr>
      <w:tr w:rsidR="003E563E" w:rsidRPr="003E563E" w14:paraId="54993CD3" w14:textId="77777777" w:rsidTr="00C42BEA">
        <w:tc>
          <w:tcPr>
            <w:tcW w:w="0" w:type="auto"/>
          </w:tcPr>
          <w:p w14:paraId="34748EAA" w14:textId="77777777" w:rsidR="003E563E" w:rsidRPr="003E563E" w:rsidRDefault="003E563E" w:rsidP="003E563E">
            <w:pPr>
              <w:rPr>
                <w:rFonts w:ascii="Arial" w:hAnsi="Arial" w:cs="Arial"/>
                <w:sz w:val="22"/>
                <w:szCs w:val="22"/>
              </w:rPr>
            </w:pPr>
            <w:r w:rsidRPr="003E563E">
              <w:rPr>
                <w:rFonts w:ascii="Arial" w:hAnsi="Arial" w:cs="Arial"/>
                <w:sz w:val="22"/>
                <w:szCs w:val="22"/>
              </w:rPr>
              <w:t>Department:</w:t>
            </w:r>
          </w:p>
        </w:tc>
        <w:tc>
          <w:tcPr>
            <w:tcW w:w="0" w:type="auto"/>
          </w:tcPr>
          <w:p w14:paraId="7691DB5C" w14:textId="3931D4EB" w:rsidR="003E563E" w:rsidRPr="003E563E" w:rsidRDefault="00FF6D25" w:rsidP="002147F7">
            <w:pPr>
              <w:rPr>
                <w:rFonts w:ascii="Arial" w:hAnsi="Arial" w:cs="Arial"/>
                <w:color w:val="000000" w:themeColor="text1"/>
                <w:sz w:val="22"/>
                <w:szCs w:val="22"/>
              </w:rPr>
            </w:pPr>
            <w:r>
              <w:rPr>
                <w:rFonts w:ascii="Arial" w:hAnsi="Arial" w:cs="Arial"/>
                <w:color w:val="000000" w:themeColor="text1"/>
                <w:sz w:val="22"/>
                <w:szCs w:val="22"/>
              </w:rPr>
              <w:t>Governance</w:t>
            </w:r>
          </w:p>
        </w:tc>
      </w:tr>
      <w:tr w:rsidR="003E563E" w:rsidRPr="003E563E" w14:paraId="0EB0BB81" w14:textId="77777777" w:rsidTr="00C42BEA">
        <w:tc>
          <w:tcPr>
            <w:tcW w:w="0" w:type="auto"/>
          </w:tcPr>
          <w:p w14:paraId="15BF53C8" w14:textId="77777777" w:rsidR="003E563E" w:rsidRPr="003E563E" w:rsidRDefault="003E563E" w:rsidP="003E563E">
            <w:pPr>
              <w:rPr>
                <w:rFonts w:ascii="Arial" w:hAnsi="Arial" w:cs="Arial"/>
                <w:sz w:val="22"/>
                <w:szCs w:val="22"/>
              </w:rPr>
            </w:pPr>
            <w:r w:rsidRPr="003E563E">
              <w:rPr>
                <w:rFonts w:ascii="Arial" w:hAnsi="Arial" w:cs="Arial"/>
                <w:sz w:val="22"/>
                <w:szCs w:val="22"/>
              </w:rPr>
              <w:t>Reports to:</w:t>
            </w:r>
          </w:p>
        </w:tc>
        <w:tc>
          <w:tcPr>
            <w:tcW w:w="0" w:type="auto"/>
          </w:tcPr>
          <w:p w14:paraId="67FDCD10" w14:textId="1CCC2F54" w:rsidR="003E563E" w:rsidRPr="003E563E" w:rsidRDefault="00FF6D25" w:rsidP="003E563E">
            <w:pPr>
              <w:rPr>
                <w:rFonts w:ascii="Arial" w:hAnsi="Arial" w:cs="Arial"/>
                <w:color w:val="000000" w:themeColor="text1"/>
                <w:sz w:val="22"/>
                <w:szCs w:val="22"/>
              </w:rPr>
            </w:pPr>
            <w:r>
              <w:rPr>
                <w:rFonts w:ascii="Arial" w:hAnsi="Arial" w:cs="Arial"/>
                <w:color w:val="000000" w:themeColor="text1"/>
                <w:sz w:val="22"/>
                <w:szCs w:val="22"/>
              </w:rPr>
              <w:t>Chief Executive</w:t>
            </w:r>
          </w:p>
        </w:tc>
      </w:tr>
      <w:tr w:rsidR="003E563E" w:rsidRPr="003E563E" w14:paraId="32DC3691" w14:textId="77777777" w:rsidTr="00C42BEA">
        <w:tc>
          <w:tcPr>
            <w:tcW w:w="0" w:type="auto"/>
          </w:tcPr>
          <w:p w14:paraId="2D15EB6D" w14:textId="77777777" w:rsidR="003E563E" w:rsidRPr="003E563E" w:rsidRDefault="003E563E" w:rsidP="003E563E">
            <w:pPr>
              <w:rPr>
                <w:rFonts w:ascii="Arial" w:hAnsi="Arial" w:cs="Arial"/>
                <w:sz w:val="22"/>
                <w:szCs w:val="22"/>
              </w:rPr>
            </w:pPr>
            <w:r w:rsidRPr="003E563E">
              <w:rPr>
                <w:rFonts w:ascii="Arial" w:hAnsi="Arial" w:cs="Arial"/>
                <w:sz w:val="22"/>
                <w:szCs w:val="22"/>
              </w:rPr>
              <w:t>Location:</w:t>
            </w:r>
          </w:p>
        </w:tc>
        <w:tc>
          <w:tcPr>
            <w:tcW w:w="0" w:type="auto"/>
          </w:tcPr>
          <w:p w14:paraId="3CF58AD7" w14:textId="13D8331E" w:rsidR="003E563E" w:rsidRPr="003E563E" w:rsidRDefault="003E563E" w:rsidP="003E563E">
            <w:pPr>
              <w:rPr>
                <w:rFonts w:ascii="Arial" w:hAnsi="Arial" w:cs="Arial"/>
                <w:color w:val="000000" w:themeColor="text1"/>
                <w:sz w:val="22"/>
                <w:szCs w:val="22"/>
              </w:rPr>
            </w:pPr>
            <w:r w:rsidRPr="003E563E">
              <w:rPr>
                <w:rFonts w:ascii="Arial" w:hAnsi="Arial" w:cs="Arial"/>
                <w:color w:val="000000" w:themeColor="text1"/>
                <w:sz w:val="22"/>
                <w:szCs w:val="22"/>
              </w:rPr>
              <w:t>London, UK (near Monument)</w:t>
            </w:r>
          </w:p>
        </w:tc>
      </w:tr>
      <w:tr w:rsidR="003E563E" w:rsidRPr="003E563E" w14:paraId="78F4466C" w14:textId="77777777" w:rsidTr="00C42BEA">
        <w:tc>
          <w:tcPr>
            <w:tcW w:w="0" w:type="auto"/>
          </w:tcPr>
          <w:p w14:paraId="4526380F" w14:textId="77777777" w:rsidR="003E563E" w:rsidRPr="003E563E" w:rsidRDefault="003E563E" w:rsidP="003E563E">
            <w:pPr>
              <w:rPr>
                <w:rFonts w:ascii="Arial" w:hAnsi="Arial" w:cs="Arial"/>
                <w:sz w:val="22"/>
                <w:szCs w:val="22"/>
              </w:rPr>
            </w:pPr>
            <w:r w:rsidRPr="003E563E">
              <w:rPr>
                <w:rFonts w:ascii="Arial" w:hAnsi="Arial" w:cs="Arial"/>
                <w:sz w:val="22"/>
                <w:szCs w:val="22"/>
              </w:rPr>
              <w:t>Contract:</w:t>
            </w:r>
          </w:p>
        </w:tc>
        <w:tc>
          <w:tcPr>
            <w:tcW w:w="0" w:type="auto"/>
          </w:tcPr>
          <w:p w14:paraId="66417A0E" w14:textId="2D1525EE" w:rsidR="003E563E" w:rsidRPr="003E563E" w:rsidRDefault="003E563E" w:rsidP="00DE2E1A">
            <w:pPr>
              <w:rPr>
                <w:rFonts w:ascii="Arial" w:hAnsi="Arial" w:cs="Arial"/>
                <w:color w:val="000000" w:themeColor="text1"/>
                <w:sz w:val="22"/>
                <w:szCs w:val="22"/>
              </w:rPr>
            </w:pPr>
            <w:r w:rsidRPr="00FF6D25">
              <w:rPr>
                <w:rFonts w:ascii="Arial" w:hAnsi="Arial" w:cs="Arial"/>
                <w:sz w:val="22"/>
                <w:szCs w:val="22"/>
              </w:rPr>
              <w:t>Full time, 37.5 hours per week</w:t>
            </w:r>
            <w:r w:rsidR="00DE2E1A" w:rsidRPr="00FF6D25">
              <w:rPr>
                <w:rFonts w:ascii="Arial" w:hAnsi="Arial" w:cs="Arial"/>
                <w:sz w:val="22"/>
                <w:szCs w:val="22"/>
              </w:rPr>
              <w:t xml:space="preserve"> permanent</w:t>
            </w:r>
          </w:p>
        </w:tc>
      </w:tr>
      <w:tr w:rsidR="003E563E" w:rsidRPr="003E563E" w14:paraId="361EC007" w14:textId="77777777" w:rsidTr="00C42BEA">
        <w:tc>
          <w:tcPr>
            <w:tcW w:w="0" w:type="auto"/>
          </w:tcPr>
          <w:p w14:paraId="4E3E872F" w14:textId="77777777" w:rsidR="003E563E" w:rsidRPr="003E563E" w:rsidRDefault="003E563E" w:rsidP="003E563E">
            <w:pPr>
              <w:rPr>
                <w:rFonts w:ascii="Arial" w:hAnsi="Arial" w:cs="Arial"/>
                <w:sz w:val="22"/>
                <w:szCs w:val="22"/>
              </w:rPr>
            </w:pPr>
            <w:r w:rsidRPr="003E563E">
              <w:rPr>
                <w:rFonts w:ascii="Arial" w:hAnsi="Arial" w:cs="Arial"/>
                <w:sz w:val="22"/>
                <w:szCs w:val="22"/>
              </w:rPr>
              <w:t>Salary:</w:t>
            </w:r>
          </w:p>
        </w:tc>
        <w:tc>
          <w:tcPr>
            <w:tcW w:w="0" w:type="auto"/>
          </w:tcPr>
          <w:p w14:paraId="4FD4E9EB" w14:textId="57C348FD" w:rsidR="003E563E" w:rsidRPr="003E563E" w:rsidRDefault="00507A5E" w:rsidP="00F77731">
            <w:pPr>
              <w:rPr>
                <w:rFonts w:ascii="Arial" w:hAnsi="Arial" w:cs="Arial"/>
                <w:color w:val="000000" w:themeColor="text1"/>
                <w:sz w:val="22"/>
                <w:szCs w:val="22"/>
              </w:rPr>
            </w:pPr>
            <w:r>
              <w:rPr>
                <w:rFonts w:ascii="Arial" w:hAnsi="Arial" w:cs="Arial"/>
                <w:color w:val="000000" w:themeColor="text1"/>
                <w:sz w:val="22"/>
                <w:szCs w:val="22"/>
              </w:rPr>
              <w:t>£</w:t>
            </w:r>
            <w:r w:rsidR="00F77731">
              <w:rPr>
                <w:rFonts w:ascii="Arial" w:hAnsi="Arial" w:cs="Arial"/>
                <w:color w:val="000000" w:themeColor="text1"/>
                <w:sz w:val="22"/>
                <w:szCs w:val="22"/>
              </w:rPr>
              <w:t>45</w:t>
            </w:r>
            <w:r w:rsidR="00FF6D25">
              <w:rPr>
                <w:rFonts w:ascii="Arial" w:hAnsi="Arial" w:cs="Arial"/>
                <w:color w:val="000000" w:themeColor="text1"/>
                <w:sz w:val="22"/>
                <w:szCs w:val="22"/>
              </w:rPr>
              <w:t>,000 - £</w:t>
            </w:r>
            <w:r w:rsidR="00F77731">
              <w:rPr>
                <w:rFonts w:ascii="Arial" w:hAnsi="Arial" w:cs="Arial"/>
                <w:color w:val="000000" w:themeColor="text1"/>
                <w:sz w:val="22"/>
                <w:szCs w:val="22"/>
              </w:rPr>
              <w:t>50</w:t>
            </w:r>
            <w:r w:rsidR="00FF6D25">
              <w:rPr>
                <w:rFonts w:ascii="Arial" w:hAnsi="Arial" w:cs="Arial"/>
                <w:color w:val="000000" w:themeColor="text1"/>
                <w:sz w:val="22"/>
                <w:szCs w:val="22"/>
              </w:rPr>
              <w:t>,000</w:t>
            </w:r>
            <w:r w:rsidR="003E563E" w:rsidRPr="003E563E">
              <w:rPr>
                <w:rFonts w:ascii="Arial" w:hAnsi="Arial" w:cs="Arial"/>
                <w:color w:val="000000" w:themeColor="text1"/>
                <w:sz w:val="22"/>
                <w:szCs w:val="22"/>
              </w:rPr>
              <w:t xml:space="preserve"> per annum, subject to experience</w:t>
            </w:r>
          </w:p>
        </w:tc>
      </w:tr>
      <w:tr w:rsidR="003E563E" w:rsidRPr="003E563E" w14:paraId="49B00538" w14:textId="77777777" w:rsidTr="00C42BEA">
        <w:tc>
          <w:tcPr>
            <w:tcW w:w="0" w:type="auto"/>
          </w:tcPr>
          <w:p w14:paraId="54B99659" w14:textId="77777777" w:rsidR="003E563E" w:rsidRPr="003E563E" w:rsidRDefault="003E563E" w:rsidP="003E563E">
            <w:pPr>
              <w:rPr>
                <w:rFonts w:ascii="Arial" w:hAnsi="Arial" w:cs="Arial"/>
                <w:sz w:val="22"/>
                <w:szCs w:val="22"/>
              </w:rPr>
            </w:pPr>
          </w:p>
        </w:tc>
        <w:tc>
          <w:tcPr>
            <w:tcW w:w="0" w:type="auto"/>
          </w:tcPr>
          <w:p w14:paraId="6EC9AAF2" w14:textId="77777777" w:rsidR="003E563E" w:rsidRPr="003E563E" w:rsidRDefault="003E563E" w:rsidP="003E563E">
            <w:pPr>
              <w:rPr>
                <w:rFonts w:ascii="Arial" w:hAnsi="Arial" w:cs="Arial"/>
                <w:b/>
                <w:color w:val="1F497D" w:themeColor="text2"/>
                <w:sz w:val="22"/>
                <w:szCs w:val="22"/>
              </w:rPr>
            </w:pPr>
          </w:p>
        </w:tc>
      </w:tr>
    </w:tbl>
    <w:p w14:paraId="00C50034" w14:textId="77777777" w:rsidR="003E563E" w:rsidRPr="009752F7" w:rsidRDefault="003E563E" w:rsidP="003E563E">
      <w:pPr>
        <w:spacing w:after="120" w:line="240" w:lineRule="auto"/>
        <w:rPr>
          <w:rFonts w:ascii="Arial" w:hAnsi="Arial" w:cs="Arial"/>
        </w:rPr>
      </w:pPr>
      <w:r w:rsidRPr="003E563E">
        <w:rPr>
          <w:rFonts w:ascii="Arial" w:hAnsi="Arial" w:cs="Arial"/>
        </w:rPr>
        <w:t>The main responsibilities of this role include:</w:t>
      </w:r>
    </w:p>
    <w:p w14:paraId="25CC9248" w14:textId="77777777" w:rsidR="00FF6D25" w:rsidRPr="00507A5E" w:rsidRDefault="00FF6D25" w:rsidP="00FF6D25">
      <w:pPr>
        <w:numPr>
          <w:ilvl w:val="0"/>
          <w:numId w:val="3"/>
        </w:numPr>
        <w:spacing w:after="0" w:line="240" w:lineRule="auto"/>
        <w:rPr>
          <w:rFonts w:ascii="Arial" w:hAnsi="Arial" w:cs="Arial"/>
        </w:rPr>
      </w:pPr>
      <w:r w:rsidRPr="00507A5E">
        <w:rPr>
          <w:rFonts w:ascii="Arial" w:hAnsi="Arial" w:cs="Arial"/>
        </w:rPr>
        <w:t>Providing information to new and existing Trustees to keep them advised of their responsibilities and developments in the sector.</w:t>
      </w:r>
    </w:p>
    <w:p w14:paraId="34149233" w14:textId="77777777" w:rsidR="00FF6D25" w:rsidRPr="00507A5E" w:rsidRDefault="00FF6D25" w:rsidP="00FF6D25">
      <w:pPr>
        <w:numPr>
          <w:ilvl w:val="0"/>
          <w:numId w:val="3"/>
        </w:numPr>
        <w:spacing w:after="0" w:line="240" w:lineRule="auto"/>
        <w:rPr>
          <w:rFonts w:ascii="Arial" w:hAnsi="Arial" w:cs="Arial"/>
        </w:rPr>
      </w:pPr>
      <w:r w:rsidRPr="00507A5E">
        <w:rPr>
          <w:rFonts w:ascii="Arial" w:hAnsi="Arial" w:cs="Arial"/>
        </w:rPr>
        <w:t>Producing reports and presentations for Board meetings and other information as required by the Trustees.</w:t>
      </w:r>
    </w:p>
    <w:p w14:paraId="4875929C" w14:textId="77777777" w:rsidR="00FF6D25" w:rsidRPr="00507A5E" w:rsidRDefault="00FF6D25" w:rsidP="00FF6D25">
      <w:pPr>
        <w:pStyle w:val="ListParagraph"/>
        <w:numPr>
          <w:ilvl w:val="0"/>
          <w:numId w:val="3"/>
        </w:numPr>
        <w:spacing w:after="120"/>
        <w:rPr>
          <w:rFonts w:ascii="Arial" w:hAnsi="Arial" w:cs="Arial"/>
          <w:lang w:val="en-US"/>
        </w:rPr>
      </w:pPr>
      <w:r w:rsidRPr="00507A5E">
        <w:rPr>
          <w:rFonts w:ascii="Arial" w:hAnsi="Arial" w:cs="Arial"/>
          <w:lang w:val="en-US"/>
        </w:rPr>
        <w:t>Leading on Orbis UK statutory compliance.</w:t>
      </w:r>
    </w:p>
    <w:p w14:paraId="6186567E" w14:textId="77777777" w:rsidR="00FF6D25" w:rsidRPr="00507A5E" w:rsidRDefault="00FF6D25" w:rsidP="00FF6D25">
      <w:pPr>
        <w:pStyle w:val="ListParagraph"/>
        <w:numPr>
          <w:ilvl w:val="0"/>
          <w:numId w:val="3"/>
        </w:numPr>
        <w:spacing w:after="120"/>
        <w:rPr>
          <w:rFonts w:ascii="Arial" w:hAnsi="Arial" w:cs="Arial"/>
          <w:lang w:val="en-US"/>
        </w:rPr>
      </w:pPr>
      <w:r w:rsidRPr="00507A5E">
        <w:rPr>
          <w:rFonts w:ascii="Arial" w:hAnsi="Arial" w:cs="Arial"/>
          <w:lang w:val="en-US"/>
        </w:rPr>
        <w:t>Ensuring returns and reports are filed with Companies House and the Charity Commission on a timely basis.</w:t>
      </w:r>
    </w:p>
    <w:p w14:paraId="7BF04E81" w14:textId="77777777" w:rsidR="00507A5E" w:rsidRPr="00507A5E" w:rsidRDefault="00507A5E" w:rsidP="00507A5E">
      <w:pPr>
        <w:pStyle w:val="ListParagraph"/>
        <w:numPr>
          <w:ilvl w:val="0"/>
          <w:numId w:val="3"/>
        </w:numPr>
        <w:rPr>
          <w:rFonts w:ascii="Arial" w:hAnsi="Arial" w:cs="Arial"/>
        </w:rPr>
      </w:pPr>
      <w:r w:rsidRPr="00507A5E">
        <w:rPr>
          <w:rFonts w:ascii="Arial" w:hAnsi="Arial" w:cs="Arial"/>
        </w:rPr>
        <w:t>Maintaining the policy framework, advising when new policies are required and assisting in their drafting.</w:t>
      </w:r>
    </w:p>
    <w:p w14:paraId="38008B6F" w14:textId="77777777" w:rsidR="00507A5E" w:rsidRPr="00507A5E" w:rsidRDefault="00507A5E" w:rsidP="006025CA">
      <w:pPr>
        <w:pStyle w:val="ListParagraph"/>
        <w:numPr>
          <w:ilvl w:val="0"/>
          <w:numId w:val="3"/>
        </w:numPr>
        <w:rPr>
          <w:rFonts w:ascii="Arial" w:hAnsi="Arial" w:cs="Arial"/>
        </w:rPr>
      </w:pPr>
      <w:r w:rsidRPr="00507A5E">
        <w:rPr>
          <w:rFonts w:ascii="Arial" w:hAnsi="Arial" w:cs="Arial"/>
        </w:rPr>
        <w:t>Acting as data protection lead, collaborating with fundraising and communications colleagues as appropriate.</w:t>
      </w:r>
    </w:p>
    <w:p w14:paraId="3D7420FD" w14:textId="77777777" w:rsidR="00507A5E" w:rsidRPr="00507A5E" w:rsidRDefault="00507A5E" w:rsidP="00925B3C">
      <w:pPr>
        <w:pStyle w:val="ListParagraph"/>
        <w:numPr>
          <w:ilvl w:val="0"/>
          <w:numId w:val="3"/>
        </w:numPr>
        <w:rPr>
          <w:rFonts w:ascii="Arial" w:hAnsi="Arial" w:cs="Arial"/>
        </w:rPr>
      </w:pPr>
      <w:r w:rsidRPr="00507A5E">
        <w:rPr>
          <w:rFonts w:ascii="Arial" w:hAnsi="Arial" w:cs="Arial"/>
        </w:rPr>
        <w:t>Reporting the strategic risk register to the SMT on a quarterly basis, in preparation for the Audit Committee meetings.</w:t>
      </w:r>
    </w:p>
    <w:p w14:paraId="63888782" w14:textId="2B2254FD" w:rsidR="00507A5E" w:rsidRPr="00507A5E" w:rsidRDefault="00507A5E" w:rsidP="00925B3C">
      <w:pPr>
        <w:pStyle w:val="ListParagraph"/>
        <w:numPr>
          <w:ilvl w:val="0"/>
          <w:numId w:val="3"/>
        </w:numPr>
        <w:rPr>
          <w:rFonts w:ascii="Arial" w:hAnsi="Arial" w:cs="Arial"/>
        </w:rPr>
      </w:pPr>
      <w:r w:rsidRPr="00507A5E">
        <w:rPr>
          <w:rFonts w:ascii="Arial" w:hAnsi="Arial" w:cs="Arial"/>
        </w:rPr>
        <w:t>Developing systems for the management of risk.</w:t>
      </w:r>
    </w:p>
    <w:p w14:paraId="71A15275" w14:textId="77777777" w:rsidR="00FF6D25" w:rsidRPr="00507A5E" w:rsidRDefault="00FF6D25" w:rsidP="00507A5E">
      <w:pPr>
        <w:spacing w:after="120" w:line="240" w:lineRule="auto"/>
        <w:rPr>
          <w:rFonts w:ascii="Arial" w:hAnsi="Arial" w:cs="Arial"/>
        </w:rPr>
      </w:pPr>
    </w:p>
    <w:p w14:paraId="1B37C08F" w14:textId="77777777" w:rsidR="003E563E" w:rsidRPr="003E563E" w:rsidRDefault="003E563E" w:rsidP="003E563E">
      <w:pPr>
        <w:spacing w:after="120" w:line="240" w:lineRule="auto"/>
        <w:rPr>
          <w:rFonts w:ascii="Arial" w:eastAsia="Times New Roman" w:hAnsi="Arial" w:cs="Arial"/>
          <w:lang w:val="en" w:eastAsia="en-GB"/>
        </w:rPr>
      </w:pPr>
      <w:r w:rsidRPr="003E563E">
        <w:rPr>
          <w:rFonts w:ascii="Arial" w:eastAsia="Times New Roman" w:hAnsi="Arial" w:cs="Arial"/>
          <w:lang w:val="en" w:eastAsia="en-GB"/>
        </w:rPr>
        <w:lastRenderedPageBreak/>
        <w:t xml:space="preserve">Full details of the job description can be downloaded from our website: </w:t>
      </w:r>
    </w:p>
    <w:p w14:paraId="44E2FBE0" w14:textId="77777777" w:rsidR="003E563E" w:rsidRPr="003E563E" w:rsidRDefault="00F77731" w:rsidP="003E563E">
      <w:pPr>
        <w:rPr>
          <w:rFonts w:ascii="Arial" w:hAnsi="Arial" w:cs="Arial"/>
          <w:b/>
          <w:color w:val="253746"/>
        </w:rPr>
      </w:pPr>
      <w:hyperlink r:id="rId7" w:history="1">
        <w:r w:rsidR="003E563E" w:rsidRPr="009752F7">
          <w:rPr>
            <w:rFonts w:ascii="Arial" w:hAnsi="Arial" w:cs="Arial"/>
            <w:color w:val="0000FF"/>
            <w:u w:val="single"/>
          </w:rPr>
          <w:t>http://gbr.orbis.org/en/about-us/work-for-us</w:t>
        </w:r>
      </w:hyperlink>
      <w:r w:rsidR="003E563E" w:rsidRPr="003E563E">
        <w:rPr>
          <w:rFonts w:ascii="Arial" w:hAnsi="Arial" w:cs="Arial"/>
        </w:rPr>
        <w:t xml:space="preserve"> </w:t>
      </w:r>
    </w:p>
    <w:p w14:paraId="52E5969E" w14:textId="77777777" w:rsidR="003E563E" w:rsidRPr="00BA1B2B" w:rsidRDefault="003E563E" w:rsidP="003E563E">
      <w:pPr>
        <w:spacing w:after="120"/>
        <w:rPr>
          <w:rFonts w:ascii="Arial" w:hAnsi="Arial" w:cs="Arial"/>
          <w:b/>
        </w:rPr>
      </w:pPr>
      <w:r w:rsidRPr="00BA1B2B">
        <w:rPr>
          <w:rFonts w:ascii="Arial" w:hAnsi="Arial" w:cs="Arial"/>
          <w:b/>
        </w:rPr>
        <w:t>Benefits of working for Orbis UK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441"/>
      </w:tblGrid>
      <w:tr w:rsidR="003E563E" w:rsidRPr="003E563E" w14:paraId="662A2CF1" w14:textId="77777777" w:rsidTr="00C42BEA">
        <w:tc>
          <w:tcPr>
            <w:tcW w:w="0" w:type="auto"/>
          </w:tcPr>
          <w:p w14:paraId="4CD007DC" w14:textId="77777777" w:rsidR="003E563E" w:rsidRPr="003E563E" w:rsidRDefault="003E563E" w:rsidP="003E563E">
            <w:pPr>
              <w:keepNext/>
              <w:outlineLvl w:val="0"/>
              <w:rPr>
                <w:rFonts w:ascii="Arial" w:hAnsi="Arial" w:cs="Arial"/>
                <w:color w:val="00A3E0"/>
                <w:sz w:val="22"/>
                <w:szCs w:val="22"/>
              </w:rPr>
            </w:pPr>
            <w:r w:rsidRPr="003E563E">
              <w:rPr>
                <w:rFonts w:ascii="Arial" w:hAnsi="Arial" w:cs="Arial"/>
                <w:color w:val="00A3E0"/>
                <w:sz w:val="22"/>
                <w:szCs w:val="22"/>
              </w:rPr>
              <w:t>Before completion of probation:</w:t>
            </w:r>
          </w:p>
        </w:tc>
        <w:tc>
          <w:tcPr>
            <w:tcW w:w="0" w:type="auto"/>
          </w:tcPr>
          <w:p w14:paraId="63CA624E"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22 days holiday plus three days between Christmas and New Year</w:t>
            </w:r>
          </w:p>
        </w:tc>
      </w:tr>
      <w:tr w:rsidR="003E563E" w:rsidRPr="003E563E" w14:paraId="303AC05B" w14:textId="77777777" w:rsidTr="00C42BEA">
        <w:tc>
          <w:tcPr>
            <w:tcW w:w="0" w:type="auto"/>
          </w:tcPr>
          <w:p w14:paraId="7B0AF4E3" w14:textId="77777777" w:rsidR="003E563E" w:rsidRPr="003E563E" w:rsidRDefault="003E563E" w:rsidP="003E563E">
            <w:pPr>
              <w:keepNext/>
              <w:outlineLvl w:val="0"/>
              <w:rPr>
                <w:rFonts w:ascii="Arial" w:hAnsi="Arial" w:cs="Arial"/>
                <w:color w:val="00A3E0"/>
                <w:sz w:val="22"/>
                <w:szCs w:val="22"/>
              </w:rPr>
            </w:pPr>
          </w:p>
        </w:tc>
        <w:tc>
          <w:tcPr>
            <w:tcW w:w="0" w:type="auto"/>
          </w:tcPr>
          <w:p w14:paraId="6E619269"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Life Assurance</w:t>
            </w:r>
          </w:p>
        </w:tc>
      </w:tr>
      <w:tr w:rsidR="003E563E" w:rsidRPr="003E563E" w14:paraId="4010FD02" w14:textId="77777777" w:rsidTr="00C42BEA">
        <w:tc>
          <w:tcPr>
            <w:tcW w:w="0" w:type="auto"/>
          </w:tcPr>
          <w:p w14:paraId="58F2206C" w14:textId="77777777" w:rsidR="003E563E" w:rsidRPr="003E563E" w:rsidRDefault="003E563E" w:rsidP="003E563E">
            <w:pPr>
              <w:keepNext/>
              <w:outlineLvl w:val="0"/>
              <w:rPr>
                <w:rFonts w:ascii="Arial" w:hAnsi="Arial" w:cs="Arial"/>
                <w:color w:val="00A3E0"/>
                <w:sz w:val="22"/>
                <w:szCs w:val="22"/>
              </w:rPr>
            </w:pPr>
          </w:p>
        </w:tc>
        <w:tc>
          <w:tcPr>
            <w:tcW w:w="0" w:type="auto"/>
          </w:tcPr>
          <w:p w14:paraId="5BD2C65E"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 xml:space="preserve">Employee Assistance </w:t>
            </w:r>
            <w:proofErr w:type="spellStart"/>
            <w:r w:rsidRPr="003E563E">
              <w:rPr>
                <w:rFonts w:ascii="Arial" w:hAnsi="Arial" w:cs="Arial"/>
                <w:sz w:val="22"/>
                <w:szCs w:val="22"/>
              </w:rPr>
              <w:t>Programme</w:t>
            </w:r>
            <w:proofErr w:type="spellEnd"/>
          </w:p>
        </w:tc>
      </w:tr>
      <w:tr w:rsidR="003E563E" w:rsidRPr="003E563E" w14:paraId="6CDFED7C" w14:textId="77777777" w:rsidTr="00C42BEA">
        <w:tc>
          <w:tcPr>
            <w:tcW w:w="0" w:type="auto"/>
          </w:tcPr>
          <w:p w14:paraId="66C70F0A" w14:textId="77777777" w:rsidR="003E563E" w:rsidRPr="003E563E" w:rsidRDefault="003E563E" w:rsidP="003E563E">
            <w:pPr>
              <w:keepNext/>
              <w:outlineLvl w:val="0"/>
              <w:rPr>
                <w:rFonts w:ascii="Arial" w:hAnsi="Arial" w:cs="Arial"/>
                <w:color w:val="00A3E0"/>
                <w:sz w:val="22"/>
                <w:szCs w:val="22"/>
              </w:rPr>
            </w:pPr>
          </w:p>
        </w:tc>
        <w:tc>
          <w:tcPr>
            <w:tcW w:w="0" w:type="auto"/>
          </w:tcPr>
          <w:p w14:paraId="7D98E040"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E-learning Courses</w:t>
            </w:r>
          </w:p>
        </w:tc>
      </w:tr>
      <w:tr w:rsidR="003E563E" w:rsidRPr="003E563E" w14:paraId="7A65B98C" w14:textId="77777777" w:rsidTr="00C42BEA">
        <w:tc>
          <w:tcPr>
            <w:tcW w:w="0" w:type="auto"/>
          </w:tcPr>
          <w:p w14:paraId="65A6A029" w14:textId="77777777" w:rsidR="003E563E" w:rsidRPr="003E563E" w:rsidRDefault="003E563E" w:rsidP="003E563E">
            <w:pPr>
              <w:keepNext/>
              <w:outlineLvl w:val="0"/>
              <w:rPr>
                <w:rFonts w:ascii="Arial" w:hAnsi="Arial" w:cs="Arial"/>
                <w:color w:val="00A3E0"/>
                <w:sz w:val="22"/>
                <w:szCs w:val="22"/>
              </w:rPr>
            </w:pPr>
          </w:p>
        </w:tc>
        <w:tc>
          <w:tcPr>
            <w:tcW w:w="0" w:type="auto"/>
          </w:tcPr>
          <w:p w14:paraId="1995C810" w14:textId="77777777" w:rsid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Social Activities</w:t>
            </w:r>
          </w:p>
          <w:p w14:paraId="71CFDA39" w14:textId="77777777" w:rsidR="00B74789" w:rsidRDefault="00B74789" w:rsidP="003E563E">
            <w:pPr>
              <w:keepNext/>
              <w:numPr>
                <w:ilvl w:val="0"/>
                <w:numId w:val="2"/>
              </w:numPr>
              <w:outlineLvl w:val="0"/>
              <w:rPr>
                <w:rFonts w:ascii="Arial" w:hAnsi="Arial" w:cs="Arial"/>
                <w:sz w:val="22"/>
                <w:szCs w:val="22"/>
              </w:rPr>
            </w:pPr>
            <w:r>
              <w:rPr>
                <w:rFonts w:ascii="Arial" w:hAnsi="Arial" w:cs="Arial"/>
                <w:sz w:val="22"/>
                <w:szCs w:val="22"/>
              </w:rPr>
              <w:t>Access to low cost gym within the building</w:t>
            </w:r>
          </w:p>
          <w:p w14:paraId="445B374F" w14:textId="2228D047" w:rsidR="00DE2E1A" w:rsidRPr="003E563E" w:rsidRDefault="00DE2E1A" w:rsidP="00DE2E1A">
            <w:pPr>
              <w:keepNext/>
              <w:ind w:left="720"/>
              <w:outlineLvl w:val="0"/>
              <w:rPr>
                <w:rFonts w:ascii="Arial" w:hAnsi="Arial" w:cs="Arial"/>
                <w:sz w:val="22"/>
                <w:szCs w:val="22"/>
              </w:rPr>
            </w:pPr>
          </w:p>
        </w:tc>
      </w:tr>
      <w:tr w:rsidR="003E563E" w:rsidRPr="003E563E" w14:paraId="6BACDB15" w14:textId="77777777" w:rsidTr="00C42BEA">
        <w:tc>
          <w:tcPr>
            <w:tcW w:w="0" w:type="auto"/>
          </w:tcPr>
          <w:p w14:paraId="2B8C269F" w14:textId="77777777" w:rsidR="003E563E" w:rsidRPr="003E563E" w:rsidRDefault="003E563E" w:rsidP="003E563E">
            <w:pPr>
              <w:keepNext/>
              <w:outlineLvl w:val="0"/>
              <w:rPr>
                <w:rFonts w:ascii="Arial" w:hAnsi="Arial" w:cs="Arial"/>
                <w:color w:val="00A3E0"/>
                <w:sz w:val="22"/>
                <w:szCs w:val="22"/>
              </w:rPr>
            </w:pPr>
            <w:r w:rsidRPr="003E563E">
              <w:rPr>
                <w:rFonts w:ascii="Arial" w:hAnsi="Arial" w:cs="Arial"/>
                <w:color w:val="00A3E0"/>
                <w:sz w:val="22"/>
                <w:szCs w:val="22"/>
              </w:rPr>
              <w:t>After completion of probation:</w:t>
            </w:r>
          </w:p>
        </w:tc>
        <w:tc>
          <w:tcPr>
            <w:tcW w:w="0" w:type="auto"/>
          </w:tcPr>
          <w:p w14:paraId="3AB277DB"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 xml:space="preserve">Matched employer pension contribution up to a maximum of 10% of basic salary </w:t>
            </w:r>
          </w:p>
        </w:tc>
      </w:tr>
      <w:tr w:rsidR="003E563E" w:rsidRPr="003E563E" w14:paraId="409EFCD8" w14:textId="77777777" w:rsidTr="00C42BEA">
        <w:tc>
          <w:tcPr>
            <w:tcW w:w="0" w:type="auto"/>
          </w:tcPr>
          <w:p w14:paraId="615D9C41" w14:textId="77777777" w:rsidR="003E563E" w:rsidRPr="003E563E" w:rsidRDefault="003E563E" w:rsidP="003E563E">
            <w:pPr>
              <w:keepNext/>
              <w:outlineLvl w:val="0"/>
              <w:rPr>
                <w:rFonts w:ascii="Arial" w:hAnsi="Arial" w:cs="Arial"/>
                <w:color w:val="00A3E0"/>
                <w:sz w:val="22"/>
                <w:szCs w:val="22"/>
              </w:rPr>
            </w:pPr>
          </w:p>
        </w:tc>
        <w:tc>
          <w:tcPr>
            <w:tcW w:w="0" w:type="auto"/>
          </w:tcPr>
          <w:p w14:paraId="5F404B8B"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Flexi-time</w:t>
            </w:r>
          </w:p>
        </w:tc>
      </w:tr>
      <w:tr w:rsidR="003E563E" w:rsidRPr="003E563E" w14:paraId="1349E841" w14:textId="77777777" w:rsidTr="00C42BEA">
        <w:tc>
          <w:tcPr>
            <w:tcW w:w="0" w:type="auto"/>
          </w:tcPr>
          <w:p w14:paraId="2E56D325" w14:textId="77777777" w:rsidR="003E563E" w:rsidRPr="003E563E" w:rsidRDefault="003E563E" w:rsidP="003E563E">
            <w:pPr>
              <w:keepNext/>
              <w:outlineLvl w:val="0"/>
              <w:rPr>
                <w:rFonts w:ascii="Arial" w:hAnsi="Arial" w:cs="Arial"/>
                <w:color w:val="00A3E0"/>
                <w:sz w:val="22"/>
                <w:szCs w:val="22"/>
              </w:rPr>
            </w:pPr>
          </w:p>
        </w:tc>
        <w:tc>
          <w:tcPr>
            <w:tcW w:w="0" w:type="auto"/>
          </w:tcPr>
          <w:p w14:paraId="53EF02C3" w14:textId="77777777" w:rsidR="003E563E" w:rsidRPr="003E563E" w:rsidRDefault="003E563E" w:rsidP="003E563E">
            <w:pPr>
              <w:keepNext/>
              <w:numPr>
                <w:ilvl w:val="0"/>
                <w:numId w:val="2"/>
              </w:numPr>
              <w:outlineLvl w:val="0"/>
              <w:rPr>
                <w:rFonts w:ascii="Arial" w:hAnsi="Arial" w:cs="Arial"/>
                <w:sz w:val="22"/>
                <w:szCs w:val="22"/>
              </w:rPr>
            </w:pPr>
            <w:r w:rsidRPr="003E563E">
              <w:rPr>
                <w:rFonts w:ascii="Arial" w:hAnsi="Arial" w:cs="Arial"/>
                <w:sz w:val="22"/>
                <w:szCs w:val="22"/>
              </w:rPr>
              <w:t>Interest free season ticket loan</w:t>
            </w:r>
          </w:p>
        </w:tc>
      </w:tr>
    </w:tbl>
    <w:p w14:paraId="04FAB055" w14:textId="77777777" w:rsidR="009752F7" w:rsidRPr="008C0A3C" w:rsidRDefault="009752F7" w:rsidP="003E563E">
      <w:pPr>
        <w:spacing w:after="120" w:line="240" w:lineRule="auto"/>
        <w:rPr>
          <w:rFonts w:ascii="Arial" w:eastAsia="Times New Roman" w:hAnsi="Arial" w:cs="Arial"/>
          <w:b/>
          <w:color w:val="00B0F0"/>
        </w:rPr>
      </w:pPr>
    </w:p>
    <w:p w14:paraId="77A3759D" w14:textId="77777777" w:rsidR="003E563E" w:rsidRPr="00BA1B2B" w:rsidRDefault="003E563E" w:rsidP="003E563E">
      <w:pPr>
        <w:spacing w:after="120" w:line="240" w:lineRule="auto"/>
        <w:rPr>
          <w:rFonts w:ascii="Arial" w:eastAsia="Times New Roman" w:hAnsi="Arial" w:cs="Arial"/>
          <w:lang w:val="en" w:eastAsia="en-GB"/>
        </w:rPr>
      </w:pPr>
      <w:r w:rsidRPr="00BA1B2B">
        <w:rPr>
          <w:rFonts w:ascii="Arial" w:eastAsia="Times New Roman" w:hAnsi="Arial" w:cs="Arial"/>
          <w:b/>
        </w:rPr>
        <w:t>Application and interviews</w:t>
      </w:r>
    </w:p>
    <w:p w14:paraId="54E4028B" w14:textId="65D043AD" w:rsidR="003E563E" w:rsidRPr="003E563E" w:rsidRDefault="003E563E" w:rsidP="00F77731">
      <w:pPr>
        <w:spacing w:after="0" w:line="240" w:lineRule="auto"/>
        <w:rPr>
          <w:rFonts w:ascii="Arial" w:eastAsia="Times New Roman" w:hAnsi="Arial" w:cs="Arial"/>
          <w:lang w:val="en" w:eastAsia="en-GB"/>
        </w:rPr>
      </w:pPr>
      <w:r w:rsidRPr="003E563E">
        <w:rPr>
          <w:rFonts w:ascii="Arial" w:eastAsia="Times New Roman" w:hAnsi="Arial" w:cs="Arial"/>
          <w:lang w:val="en" w:eastAsia="en-GB"/>
        </w:rPr>
        <w:t>Closing Date:</w:t>
      </w:r>
      <w:r w:rsidRPr="003E563E">
        <w:rPr>
          <w:rFonts w:ascii="Arial" w:eastAsia="Times New Roman" w:hAnsi="Arial" w:cs="Arial"/>
          <w:lang w:val="en" w:eastAsia="en-GB"/>
        </w:rPr>
        <w:tab/>
      </w:r>
      <w:r w:rsidRPr="003E563E">
        <w:rPr>
          <w:rFonts w:ascii="Arial" w:eastAsia="Times New Roman" w:hAnsi="Arial" w:cs="Arial"/>
          <w:lang w:val="en" w:eastAsia="en-GB"/>
        </w:rPr>
        <w:tab/>
      </w:r>
      <w:r w:rsidR="00F77731">
        <w:rPr>
          <w:rFonts w:ascii="Arial" w:eastAsia="Times New Roman" w:hAnsi="Arial" w:cs="Arial"/>
          <w:lang w:val="en" w:eastAsia="en-GB"/>
        </w:rPr>
        <w:t>Wednesday 20 March</w:t>
      </w:r>
      <w:r w:rsidR="00507A5E">
        <w:rPr>
          <w:rFonts w:ascii="Arial" w:eastAsia="Times New Roman" w:hAnsi="Arial" w:cs="Arial"/>
          <w:lang w:val="en" w:eastAsia="en-GB"/>
        </w:rPr>
        <w:t xml:space="preserve"> 2019</w:t>
      </w:r>
      <w:r w:rsidRPr="003E563E">
        <w:rPr>
          <w:rFonts w:ascii="Arial" w:eastAsia="Times New Roman" w:hAnsi="Arial" w:cs="Arial"/>
          <w:lang w:val="en" w:eastAsia="en-GB"/>
        </w:rPr>
        <w:br/>
        <w:t xml:space="preserve">First Interviews:         </w:t>
      </w:r>
      <w:r w:rsidRPr="003E563E">
        <w:rPr>
          <w:rFonts w:ascii="Arial" w:eastAsia="Times New Roman" w:hAnsi="Arial" w:cs="Arial"/>
          <w:lang w:val="en" w:eastAsia="en-GB"/>
        </w:rPr>
        <w:tab/>
      </w:r>
      <w:r w:rsidR="00F77731">
        <w:rPr>
          <w:rFonts w:ascii="Arial" w:eastAsia="Times New Roman" w:hAnsi="Arial" w:cs="Arial"/>
          <w:lang w:val="en" w:eastAsia="en-GB"/>
        </w:rPr>
        <w:t xml:space="preserve">Wednesday 27 March </w:t>
      </w:r>
      <w:r w:rsidR="00507A5E">
        <w:rPr>
          <w:rFonts w:ascii="Arial" w:eastAsia="Times New Roman" w:hAnsi="Arial" w:cs="Arial"/>
          <w:lang w:val="en" w:eastAsia="en-GB"/>
        </w:rPr>
        <w:t>2019</w:t>
      </w:r>
    </w:p>
    <w:p w14:paraId="4A4267BC" w14:textId="5797C761" w:rsidR="003E563E" w:rsidRPr="003E563E" w:rsidRDefault="003E563E" w:rsidP="00F77731">
      <w:pPr>
        <w:spacing w:after="0" w:line="240" w:lineRule="auto"/>
        <w:rPr>
          <w:rFonts w:ascii="Arial" w:eastAsia="Times New Roman" w:hAnsi="Arial" w:cs="Arial"/>
          <w:lang w:val="en" w:eastAsia="en-GB"/>
        </w:rPr>
      </w:pPr>
      <w:r w:rsidRPr="003E563E">
        <w:rPr>
          <w:rFonts w:ascii="Arial" w:eastAsia="Times New Roman" w:hAnsi="Arial" w:cs="Arial"/>
          <w:lang w:val="en" w:eastAsia="en-GB"/>
        </w:rPr>
        <w:t xml:space="preserve">Second Interviews: </w:t>
      </w:r>
      <w:r w:rsidRPr="003E563E">
        <w:rPr>
          <w:rFonts w:ascii="Arial" w:eastAsia="Times New Roman" w:hAnsi="Arial" w:cs="Arial"/>
          <w:lang w:val="en" w:eastAsia="en-GB"/>
        </w:rPr>
        <w:tab/>
      </w:r>
      <w:r w:rsidR="00F77731">
        <w:rPr>
          <w:rFonts w:ascii="Arial" w:eastAsia="Times New Roman" w:hAnsi="Arial" w:cs="Arial"/>
          <w:lang w:val="en" w:eastAsia="en-GB"/>
        </w:rPr>
        <w:t>Monday 1 April</w:t>
      </w:r>
      <w:r w:rsidR="00507A5E">
        <w:rPr>
          <w:rFonts w:ascii="Arial" w:eastAsia="Times New Roman" w:hAnsi="Arial" w:cs="Arial"/>
          <w:lang w:val="en" w:eastAsia="en-GB"/>
        </w:rPr>
        <w:t xml:space="preserve"> 2019</w:t>
      </w:r>
    </w:p>
    <w:p w14:paraId="70927DF2" w14:textId="673461DB" w:rsidR="003E563E" w:rsidRPr="003E563E" w:rsidRDefault="003E563E" w:rsidP="003E563E">
      <w:pPr>
        <w:spacing w:after="0" w:line="240" w:lineRule="auto"/>
        <w:rPr>
          <w:rFonts w:ascii="Arial" w:eastAsia="Times New Roman" w:hAnsi="Arial" w:cs="Arial"/>
          <w:lang w:val="en" w:eastAsia="en-GB"/>
        </w:rPr>
      </w:pPr>
      <w:r w:rsidRPr="003E563E">
        <w:rPr>
          <w:rFonts w:ascii="Arial" w:eastAsia="Times New Roman" w:hAnsi="Arial" w:cs="Arial"/>
          <w:lang w:val="en" w:eastAsia="en-GB"/>
        </w:rPr>
        <w:t xml:space="preserve">Start Date: </w:t>
      </w:r>
      <w:r w:rsidRPr="003E563E">
        <w:rPr>
          <w:rFonts w:ascii="Arial" w:eastAsia="Times New Roman" w:hAnsi="Arial" w:cs="Arial"/>
          <w:lang w:val="en" w:eastAsia="en-GB"/>
        </w:rPr>
        <w:tab/>
      </w:r>
      <w:r w:rsidRPr="003E563E">
        <w:rPr>
          <w:rFonts w:ascii="Arial" w:eastAsia="Times New Roman" w:hAnsi="Arial" w:cs="Arial"/>
          <w:lang w:val="en" w:eastAsia="en-GB"/>
        </w:rPr>
        <w:tab/>
      </w:r>
      <w:r w:rsidR="00507A5E">
        <w:rPr>
          <w:rFonts w:ascii="Arial" w:eastAsia="Times New Roman" w:hAnsi="Arial" w:cs="Arial"/>
          <w:lang w:val="en" w:eastAsia="en-GB"/>
        </w:rPr>
        <w:t>ASAP</w:t>
      </w:r>
    </w:p>
    <w:p w14:paraId="5ECC5535" w14:textId="262EEE58" w:rsidR="00D55A19" w:rsidRPr="0077425A" w:rsidRDefault="003E563E" w:rsidP="00F77731">
      <w:pPr>
        <w:rPr>
          <w:rFonts w:ascii="Arial" w:hAnsi="Arial" w:cs="Arial"/>
        </w:rPr>
      </w:pPr>
      <w:r w:rsidRPr="003E563E">
        <w:rPr>
          <w:rFonts w:ascii="Arial" w:eastAsia="Times New Roman" w:hAnsi="Arial" w:cs="Arial"/>
          <w:lang w:val="en" w:eastAsia="en-GB"/>
        </w:rPr>
        <w:br/>
      </w:r>
      <w:r w:rsidRPr="003E563E">
        <w:rPr>
          <w:rFonts w:ascii="Arial" w:hAnsi="Arial" w:cs="Arial"/>
        </w:rPr>
        <w:t xml:space="preserve">All applicants must have the legal right to live and work in the UK. Successful applicants may be subject to an enhanced DBS check. Unfortunately, we won’t be able to reply to all applications, so if you haven’t heard from us by </w:t>
      </w:r>
      <w:r w:rsidR="00F77731">
        <w:rPr>
          <w:rFonts w:ascii="Arial" w:hAnsi="Arial" w:cs="Arial"/>
        </w:rPr>
        <w:t>Monday 25 March 2019</w:t>
      </w:r>
      <w:bookmarkStart w:id="0" w:name="_GoBack"/>
      <w:bookmarkEnd w:id="0"/>
      <w:r w:rsidRPr="003E563E">
        <w:rPr>
          <w:rFonts w:ascii="Arial" w:hAnsi="Arial" w:cs="Arial"/>
        </w:rPr>
        <w:t>, your application has not been successful.</w:t>
      </w:r>
      <w:r w:rsidR="00D55A19" w:rsidRPr="00D55A19">
        <w:rPr>
          <w:rFonts w:ascii="Arial" w:hAnsi="Arial" w:cs="Arial"/>
          <w:color w:val="000000"/>
        </w:rPr>
        <w:t xml:space="preserve"> </w:t>
      </w:r>
      <w:r w:rsidR="00D55A19" w:rsidRPr="0077425A">
        <w:rPr>
          <w:rFonts w:ascii="Arial" w:hAnsi="Arial" w:cs="Arial"/>
          <w:color w:val="000000"/>
        </w:rPr>
        <w:t>An understanding of GDPR regulations and how to maintain compliance is essential.</w:t>
      </w:r>
    </w:p>
    <w:p w14:paraId="24D7556C" w14:textId="10442BF2" w:rsidR="0077425A" w:rsidRPr="0077425A" w:rsidRDefault="003E563E" w:rsidP="0077425A">
      <w:pPr>
        <w:rPr>
          <w:rFonts w:ascii="Arial" w:hAnsi="Arial" w:cs="Arial"/>
        </w:rPr>
      </w:pPr>
      <w:r w:rsidRPr="0077425A">
        <w:rPr>
          <w:rFonts w:ascii="Arial" w:hAnsi="Arial" w:cs="Arial"/>
          <w:lang w:val="en"/>
        </w:rPr>
        <w:t>Orbis UK is an equal opportunities employer and welcomes applications from any suitably qualified persons.</w:t>
      </w:r>
      <w:r w:rsidRPr="0077425A">
        <w:rPr>
          <w:rFonts w:ascii="Arial" w:hAnsi="Arial" w:cs="Arial"/>
        </w:rPr>
        <w:t xml:space="preserve"> </w:t>
      </w:r>
      <w:r w:rsidRPr="0077425A">
        <w:rPr>
          <w:rFonts w:ascii="Arial" w:hAnsi="Arial" w:cs="Arial"/>
          <w:lang w:val="en"/>
        </w:rPr>
        <w:t xml:space="preserve">We will ensure that no job applicant receives less </w:t>
      </w:r>
      <w:r w:rsidR="00DE2E1A" w:rsidRPr="0077425A">
        <w:rPr>
          <w:rFonts w:ascii="Arial" w:hAnsi="Arial" w:cs="Arial"/>
          <w:lang w:val="en"/>
        </w:rPr>
        <w:t>favorable</w:t>
      </w:r>
      <w:r w:rsidRPr="0077425A">
        <w:rPr>
          <w:rFonts w:ascii="Arial" w:hAnsi="Arial" w:cs="Arial"/>
          <w:lang w:val="en"/>
        </w:rPr>
        <w:t xml:space="preserve"> treatment either directly or indirectly, on the grounds of age, race, disability, gender, marital status, religion or faith or sexual orientation.</w:t>
      </w:r>
      <w:r w:rsidR="0077425A" w:rsidRPr="0077425A">
        <w:rPr>
          <w:rFonts w:ascii="Arial" w:hAnsi="Arial" w:cs="Arial"/>
          <w:color w:val="000000"/>
        </w:rPr>
        <w:t xml:space="preserve"> An understanding of GDPR regulations and how to maintain compliance is essential.</w:t>
      </w:r>
    </w:p>
    <w:p w14:paraId="177BF3BC" w14:textId="30C117CB" w:rsidR="003E563E" w:rsidRPr="009752F7" w:rsidRDefault="003E563E" w:rsidP="003E563E">
      <w:pPr>
        <w:rPr>
          <w:rFonts w:ascii="Arial" w:hAnsi="Arial" w:cs="Arial"/>
          <w:lang w:val="en"/>
        </w:rPr>
      </w:pPr>
    </w:p>
    <w:p w14:paraId="548B43EB" w14:textId="0147F091" w:rsidR="0088398D" w:rsidRPr="009752F7" w:rsidRDefault="0088398D" w:rsidP="0088398D">
      <w:pPr>
        <w:jc w:val="both"/>
        <w:rPr>
          <w:rStyle w:val="Hyperlink"/>
          <w:rFonts w:ascii="Arial" w:hAnsi="Arial" w:cs="Arial"/>
          <w:lang w:val="en"/>
        </w:rPr>
      </w:pPr>
      <w:r w:rsidRPr="009752F7">
        <w:rPr>
          <w:rFonts w:ascii="Arial" w:hAnsi="Arial" w:cs="Arial"/>
          <w:lang w:val="en"/>
        </w:rPr>
        <w:t xml:space="preserve">Application is via curriculum vitae and </w:t>
      </w:r>
      <w:r w:rsidRPr="009752F7">
        <w:rPr>
          <w:rFonts w:ascii="Arial" w:hAnsi="Arial" w:cs="Arial"/>
          <w:b/>
          <w:lang w:val="en"/>
        </w:rPr>
        <w:t>covering letter</w:t>
      </w:r>
      <w:r w:rsidRPr="009752F7">
        <w:rPr>
          <w:rFonts w:ascii="Arial" w:hAnsi="Arial" w:cs="Arial"/>
          <w:lang w:val="en"/>
        </w:rPr>
        <w:t xml:space="preserve">, to Nathalie Pinel-Miller, Business Support Manager, Orbis UK, 10 Lower Thames Street, London EC3R 6AF </w:t>
      </w:r>
      <w:r w:rsidRPr="003E563E">
        <w:rPr>
          <w:rFonts w:ascii="Arial" w:hAnsi="Arial" w:cs="Arial"/>
        </w:rPr>
        <w:t xml:space="preserve">or by email to </w:t>
      </w:r>
      <w:hyperlink r:id="rId8" w:history="1">
        <w:r w:rsidR="00E97C36" w:rsidRPr="00BF6970">
          <w:rPr>
            <w:rStyle w:val="Hyperlink"/>
            <w:rFonts w:ascii="Arial" w:hAnsi="Arial" w:cs="Arial"/>
          </w:rPr>
          <w:t>recruitment@orbis.org.uk</w:t>
        </w:r>
      </w:hyperlink>
    </w:p>
    <w:sectPr w:rsidR="0088398D" w:rsidRPr="009752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5A19" w14:textId="77777777" w:rsidR="003E563E" w:rsidRDefault="003E563E" w:rsidP="003E563E">
      <w:pPr>
        <w:spacing w:after="0" w:line="240" w:lineRule="auto"/>
      </w:pPr>
      <w:r>
        <w:separator/>
      </w:r>
    </w:p>
  </w:endnote>
  <w:endnote w:type="continuationSeparator" w:id="0">
    <w:p w14:paraId="2CC4C541" w14:textId="77777777" w:rsidR="003E563E" w:rsidRDefault="003E563E" w:rsidP="003E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B191E" w14:textId="77777777" w:rsidR="003E563E" w:rsidRDefault="003E563E" w:rsidP="003E563E">
      <w:pPr>
        <w:spacing w:after="0" w:line="240" w:lineRule="auto"/>
      </w:pPr>
      <w:r>
        <w:separator/>
      </w:r>
    </w:p>
  </w:footnote>
  <w:footnote w:type="continuationSeparator" w:id="0">
    <w:p w14:paraId="6170C03C" w14:textId="77777777" w:rsidR="003E563E" w:rsidRDefault="003E563E" w:rsidP="003E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489D" w14:textId="76DF7A0D" w:rsidR="003E563E" w:rsidRDefault="003E563E">
    <w:pPr>
      <w:pStyle w:val="Header"/>
    </w:pPr>
    <w:r>
      <w:rPr>
        <w:noProof/>
        <w:lang w:eastAsia="zh-TW"/>
      </w:rPr>
      <w:drawing>
        <wp:inline distT="0" distB="0" distL="0" distR="0" wp14:anchorId="765A4EAA" wp14:editId="0188B909">
          <wp:extent cx="1268095" cy="664210"/>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4ADC"/>
    <w:multiLevelType w:val="hybridMultilevel"/>
    <w:tmpl w:val="464C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76671"/>
    <w:multiLevelType w:val="hybridMultilevel"/>
    <w:tmpl w:val="982A162A"/>
    <w:lvl w:ilvl="0" w:tplc="43A6BDF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84F31"/>
    <w:multiLevelType w:val="hybridMultilevel"/>
    <w:tmpl w:val="D162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5229"/>
    <w:multiLevelType w:val="hybridMultilevel"/>
    <w:tmpl w:val="47E0E71A"/>
    <w:lvl w:ilvl="0" w:tplc="43A6BDF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547"/>
    <w:multiLevelType w:val="hybridMultilevel"/>
    <w:tmpl w:val="F626CC9A"/>
    <w:lvl w:ilvl="0" w:tplc="43A6BDF2">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ED1A72"/>
    <w:multiLevelType w:val="hybridMultilevel"/>
    <w:tmpl w:val="7DB29F1C"/>
    <w:lvl w:ilvl="0" w:tplc="10C80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E25EC"/>
    <w:multiLevelType w:val="hybridMultilevel"/>
    <w:tmpl w:val="F21E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99"/>
    <w:rsid w:val="00034C1F"/>
    <w:rsid w:val="00072383"/>
    <w:rsid w:val="00092393"/>
    <w:rsid w:val="0015681C"/>
    <w:rsid w:val="001D6F1A"/>
    <w:rsid w:val="0020720A"/>
    <w:rsid w:val="00207594"/>
    <w:rsid w:val="002147F7"/>
    <w:rsid w:val="002A4E00"/>
    <w:rsid w:val="002B46C7"/>
    <w:rsid w:val="002B4BB3"/>
    <w:rsid w:val="002D1427"/>
    <w:rsid w:val="002D6AA4"/>
    <w:rsid w:val="00307022"/>
    <w:rsid w:val="00342019"/>
    <w:rsid w:val="00351A4D"/>
    <w:rsid w:val="00360C47"/>
    <w:rsid w:val="0037642C"/>
    <w:rsid w:val="00377813"/>
    <w:rsid w:val="003D01E9"/>
    <w:rsid w:val="003E563E"/>
    <w:rsid w:val="003E775C"/>
    <w:rsid w:val="00403A93"/>
    <w:rsid w:val="0040796C"/>
    <w:rsid w:val="004627DF"/>
    <w:rsid w:val="00470BA8"/>
    <w:rsid w:val="00472AD0"/>
    <w:rsid w:val="004A1504"/>
    <w:rsid w:val="004A4689"/>
    <w:rsid w:val="00507A5E"/>
    <w:rsid w:val="00560CCA"/>
    <w:rsid w:val="005819AC"/>
    <w:rsid w:val="00590AF5"/>
    <w:rsid w:val="005B16FF"/>
    <w:rsid w:val="005E68F0"/>
    <w:rsid w:val="005F5FD8"/>
    <w:rsid w:val="005F6500"/>
    <w:rsid w:val="006148D7"/>
    <w:rsid w:val="006273C4"/>
    <w:rsid w:val="00634CE5"/>
    <w:rsid w:val="006460DA"/>
    <w:rsid w:val="00652109"/>
    <w:rsid w:val="006E2923"/>
    <w:rsid w:val="00706823"/>
    <w:rsid w:val="0072179A"/>
    <w:rsid w:val="00745D2E"/>
    <w:rsid w:val="0077425A"/>
    <w:rsid w:val="007A037E"/>
    <w:rsid w:val="007B256E"/>
    <w:rsid w:val="00815398"/>
    <w:rsid w:val="008670DC"/>
    <w:rsid w:val="0088398D"/>
    <w:rsid w:val="008C0A3C"/>
    <w:rsid w:val="008E696B"/>
    <w:rsid w:val="0092784B"/>
    <w:rsid w:val="009752F7"/>
    <w:rsid w:val="009F52B8"/>
    <w:rsid w:val="00A86DBC"/>
    <w:rsid w:val="00A92818"/>
    <w:rsid w:val="00AC3092"/>
    <w:rsid w:val="00AF1E65"/>
    <w:rsid w:val="00B16F6F"/>
    <w:rsid w:val="00B1712D"/>
    <w:rsid w:val="00B7375C"/>
    <w:rsid w:val="00B74789"/>
    <w:rsid w:val="00BA1B2B"/>
    <w:rsid w:val="00BC185F"/>
    <w:rsid w:val="00C67758"/>
    <w:rsid w:val="00C76C70"/>
    <w:rsid w:val="00C90692"/>
    <w:rsid w:val="00CD40BF"/>
    <w:rsid w:val="00CF04D8"/>
    <w:rsid w:val="00D2575F"/>
    <w:rsid w:val="00D55A19"/>
    <w:rsid w:val="00D71A57"/>
    <w:rsid w:val="00DE2E1A"/>
    <w:rsid w:val="00E65CB3"/>
    <w:rsid w:val="00E82299"/>
    <w:rsid w:val="00E97C36"/>
    <w:rsid w:val="00ED1045"/>
    <w:rsid w:val="00ED656B"/>
    <w:rsid w:val="00F4001B"/>
    <w:rsid w:val="00F77731"/>
    <w:rsid w:val="00FF6D2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8AFF"/>
  <w15:docId w15:val="{F74F0096-BF8F-4811-885E-A925B9B8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504"/>
    <w:rPr>
      <w:color w:val="0000FF"/>
      <w:u w:val="single"/>
    </w:rPr>
  </w:style>
  <w:style w:type="paragraph" w:styleId="BalloonText">
    <w:name w:val="Balloon Text"/>
    <w:basedOn w:val="Normal"/>
    <w:link w:val="BalloonTextChar"/>
    <w:uiPriority w:val="99"/>
    <w:semiHidden/>
    <w:unhideWhenUsed/>
    <w:rsid w:val="00092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93"/>
    <w:rPr>
      <w:rFonts w:ascii="Tahoma" w:hAnsi="Tahoma" w:cs="Tahoma"/>
      <w:sz w:val="16"/>
      <w:szCs w:val="16"/>
    </w:rPr>
  </w:style>
  <w:style w:type="paragraph" w:styleId="BodyText">
    <w:name w:val="Body Text"/>
    <w:basedOn w:val="Normal"/>
    <w:link w:val="BodyTextChar"/>
    <w:semiHidden/>
    <w:rsid w:val="005E68F0"/>
    <w:pPr>
      <w:spacing w:after="0" w:line="240" w:lineRule="auto"/>
      <w:jc w:val="both"/>
    </w:pPr>
    <w:rPr>
      <w:rFonts w:ascii="Gill Sans" w:eastAsia="Times New Roman" w:hAnsi="Gill Sans" w:cs="Times New Roman"/>
      <w:sz w:val="24"/>
      <w:szCs w:val="24"/>
    </w:rPr>
  </w:style>
  <w:style w:type="character" w:customStyle="1" w:styleId="BodyTextChar">
    <w:name w:val="Body Text Char"/>
    <w:basedOn w:val="DefaultParagraphFont"/>
    <w:link w:val="BodyText"/>
    <w:semiHidden/>
    <w:rsid w:val="005E68F0"/>
    <w:rPr>
      <w:rFonts w:ascii="Gill Sans" w:eastAsia="Times New Roman" w:hAnsi="Gill Sans" w:cs="Times New Roman"/>
      <w:sz w:val="24"/>
      <w:szCs w:val="24"/>
    </w:rPr>
  </w:style>
  <w:style w:type="paragraph" w:styleId="NoSpacing">
    <w:name w:val="No Spacing"/>
    <w:uiPriority w:val="1"/>
    <w:qFormat/>
    <w:rsid w:val="007A037E"/>
    <w:pPr>
      <w:spacing w:after="0" w:line="240" w:lineRule="auto"/>
    </w:pPr>
  </w:style>
  <w:style w:type="character" w:styleId="FollowedHyperlink">
    <w:name w:val="FollowedHyperlink"/>
    <w:basedOn w:val="DefaultParagraphFont"/>
    <w:uiPriority w:val="99"/>
    <w:semiHidden/>
    <w:unhideWhenUsed/>
    <w:rsid w:val="007A037E"/>
    <w:rPr>
      <w:color w:val="800080" w:themeColor="followedHyperlink"/>
      <w:u w:val="single"/>
    </w:rPr>
  </w:style>
  <w:style w:type="character" w:styleId="CommentReference">
    <w:name w:val="annotation reference"/>
    <w:basedOn w:val="DefaultParagraphFont"/>
    <w:uiPriority w:val="99"/>
    <w:semiHidden/>
    <w:unhideWhenUsed/>
    <w:rsid w:val="0020720A"/>
    <w:rPr>
      <w:sz w:val="16"/>
      <w:szCs w:val="16"/>
    </w:rPr>
  </w:style>
  <w:style w:type="paragraph" w:styleId="CommentText">
    <w:name w:val="annotation text"/>
    <w:basedOn w:val="Normal"/>
    <w:link w:val="CommentTextChar"/>
    <w:uiPriority w:val="99"/>
    <w:semiHidden/>
    <w:unhideWhenUsed/>
    <w:rsid w:val="0020720A"/>
    <w:pPr>
      <w:spacing w:line="240" w:lineRule="auto"/>
    </w:pPr>
    <w:rPr>
      <w:sz w:val="20"/>
      <w:szCs w:val="20"/>
    </w:rPr>
  </w:style>
  <w:style w:type="character" w:customStyle="1" w:styleId="CommentTextChar">
    <w:name w:val="Comment Text Char"/>
    <w:basedOn w:val="DefaultParagraphFont"/>
    <w:link w:val="CommentText"/>
    <w:uiPriority w:val="99"/>
    <w:semiHidden/>
    <w:rsid w:val="0020720A"/>
    <w:rPr>
      <w:sz w:val="20"/>
      <w:szCs w:val="20"/>
    </w:rPr>
  </w:style>
  <w:style w:type="paragraph" w:styleId="CommentSubject">
    <w:name w:val="annotation subject"/>
    <w:basedOn w:val="CommentText"/>
    <w:next w:val="CommentText"/>
    <w:link w:val="CommentSubjectChar"/>
    <w:uiPriority w:val="99"/>
    <w:semiHidden/>
    <w:unhideWhenUsed/>
    <w:rsid w:val="0020720A"/>
    <w:rPr>
      <w:b/>
      <w:bCs/>
    </w:rPr>
  </w:style>
  <w:style w:type="character" w:customStyle="1" w:styleId="CommentSubjectChar">
    <w:name w:val="Comment Subject Char"/>
    <w:basedOn w:val="CommentTextChar"/>
    <w:link w:val="CommentSubject"/>
    <w:uiPriority w:val="99"/>
    <w:semiHidden/>
    <w:rsid w:val="0020720A"/>
    <w:rPr>
      <w:b/>
      <w:bCs/>
      <w:sz w:val="20"/>
      <w:szCs w:val="20"/>
    </w:rPr>
  </w:style>
  <w:style w:type="table" w:styleId="TableGrid">
    <w:name w:val="Table Grid"/>
    <w:basedOn w:val="TableNormal"/>
    <w:uiPriority w:val="59"/>
    <w:rsid w:val="003E56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63E"/>
  </w:style>
  <w:style w:type="paragraph" w:styleId="Footer">
    <w:name w:val="footer"/>
    <w:basedOn w:val="Normal"/>
    <w:link w:val="FooterChar"/>
    <w:uiPriority w:val="99"/>
    <w:unhideWhenUsed/>
    <w:rsid w:val="003E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63E"/>
  </w:style>
  <w:style w:type="paragraph" w:styleId="ListParagraph">
    <w:name w:val="List Paragraph"/>
    <w:basedOn w:val="Normal"/>
    <w:uiPriority w:val="34"/>
    <w:qFormat/>
    <w:rsid w:val="003E563E"/>
    <w:pPr>
      <w:ind w:left="720"/>
      <w:contextualSpacing/>
    </w:pPr>
  </w:style>
  <w:style w:type="paragraph" w:customStyle="1" w:styleId="Default">
    <w:name w:val="Default"/>
    <w:rsid w:val="00507A5E"/>
    <w:pPr>
      <w:autoSpaceDE w:val="0"/>
      <w:autoSpaceDN w:val="0"/>
      <w:adjustRightInd w:val="0"/>
      <w:spacing w:after="0" w:line="240" w:lineRule="auto"/>
    </w:pPr>
    <w:rPr>
      <w:rFonts w:ascii="Arial" w:eastAsia="Times New Roman"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5813">
      <w:bodyDiv w:val="1"/>
      <w:marLeft w:val="0"/>
      <w:marRight w:val="0"/>
      <w:marTop w:val="0"/>
      <w:marBottom w:val="0"/>
      <w:divBdr>
        <w:top w:val="none" w:sz="0" w:space="0" w:color="auto"/>
        <w:left w:val="none" w:sz="0" w:space="0" w:color="auto"/>
        <w:bottom w:val="none" w:sz="0" w:space="0" w:color="auto"/>
        <w:right w:val="none" w:sz="0" w:space="0" w:color="auto"/>
      </w:divBdr>
    </w:div>
    <w:div w:id="9588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orbis.org.uk" TargetMode="External"/><Relationship Id="rId3" Type="http://schemas.openxmlformats.org/officeDocument/2006/relationships/settings" Target="settings.xml"/><Relationship Id="rId7" Type="http://schemas.openxmlformats.org/officeDocument/2006/relationships/hyperlink" Target="http://gbr.orbis.org/en/about-us/work-f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Dale</dc:creator>
  <cp:lastModifiedBy>Nathalie Pinel-Miller</cp:lastModifiedBy>
  <cp:revision>2</cp:revision>
  <cp:lastPrinted>2019-02-26T13:55:00Z</cp:lastPrinted>
  <dcterms:created xsi:type="dcterms:W3CDTF">2019-02-26T15:37:00Z</dcterms:created>
  <dcterms:modified xsi:type="dcterms:W3CDTF">2019-02-26T15:37:00Z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-1715129314</vt:i4>
  </property>
</Properties>
</file>